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ppt" ContentType="application/vnd.ms-powerpoi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93F10" w:rsidRPr="00B61B5F" w:rsidRDefault="00193F10" w:rsidP="005325B9">
      <w:pPr>
        <w:widowControl w:val="0"/>
        <w:jc w:val="center"/>
        <w:rPr>
          <w:sz w:val="22"/>
          <w:szCs w:val="22"/>
        </w:rPr>
      </w:pPr>
      <w:bookmarkStart w:id="0" w:name="_Hlk508287846"/>
      <w:bookmarkEnd w:id="0"/>
    </w:p>
    <w:p w:rsidR="00746205" w:rsidRPr="00746205" w:rsidRDefault="000636BE" w:rsidP="000636BE">
      <w:pPr>
        <w:widowControl w:val="0"/>
        <w:jc w:val="center"/>
        <w:rPr>
          <w:sz w:val="22"/>
          <w:szCs w:val="22"/>
        </w:rPr>
      </w:pPr>
      <w:r>
        <w:rPr>
          <w:noProof/>
        </w:rPr>
        <w:drawing>
          <wp:inline distT="0" distB="0" distL="0" distR="0" wp14:anchorId="32E589AB" wp14:editId="2ADF26D6">
            <wp:extent cx="1417320" cy="14173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p w:rsidR="00746205" w:rsidRPr="00746205" w:rsidRDefault="00746205" w:rsidP="005325B9">
      <w:pPr>
        <w:widowControl w:val="0"/>
        <w:jc w:val="center"/>
        <w:rPr>
          <w:sz w:val="22"/>
          <w:szCs w:val="22"/>
        </w:rPr>
      </w:pPr>
    </w:p>
    <w:p w:rsidR="00193F10" w:rsidRPr="00746205" w:rsidRDefault="00193F10" w:rsidP="005325B9">
      <w:pPr>
        <w:pStyle w:val="Heading3"/>
        <w:keepNext w:val="0"/>
        <w:widowControl w:val="0"/>
        <w:spacing w:after="120"/>
        <w:rPr>
          <w:b/>
          <w:sz w:val="22"/>
          <w:szCs w:val="22"/>
        </w:rPr>
      </w:pPr>
      <w:r w:rsidRPr="00746205">
        <w:rPr>
          <w:b/>
          <w:sz w:val="22"/>
          <w:szCs w:val="22"/>
        </w:rPr>
        <w:t>TECHNICAL EVALUATION</w:t>
      </w:r>
    </w:p>
    <w:p w:rsidR="00193F10" w:rsidRPr="00746205" w:rsidRDefault="00193F10" w:rsidP="005325B9">
      <w:pPr>
        <w:widowControl w:val="0"/>
        <w:spacing w:after="120"/>
        <w:jc w:val="center"/>
        <w:rPr>
          <w:b/>
          <w:sz w:val="22"/>
          <w:szCs w:val="22"/>
        </w:rPr>
      </w:pPr>
      <w:r w:rsidRPr="00746205">
        <w:rPr>
          <w:b/>
          <w:sz w:val="22"/>
          <w:szCs w:val="22"/>
        </w:rPr>
        <w:t>&amp;</w:t>
      </w:r>
    </w:p>
    <w:p w:rsidR="00193F10" w:rsidRPr="00746205" w:rsidRDefault="00193F10" w:rsidP="005325B9">
      <w:pPr>
        <w:widowControl w:val="0"/>
        <w:spacing w:after="120"/>
        <w:jc w:val="center"/>
        <w:rPr>
          <w:b/>
          <w:sz w:val="22"/>
          <w:szCs w:val="22"/>
        </w:rPr>
      </w:pPr>
      <w:r w:rsidRPr="00746205">
        <w:rPr>
          <w:b/>
          <w:sz w:val="22"/>
          <w:szCs w:val="22"/>
        </w:rPr>
        <w:t>PRELIMINARY DETERMINATION</w:t>
      </w:r>
    </w:p>
    <w:p w:rsidR="00193F10" w:rsidRDefault="00193F10" w:rsidP="005325B9">
      <w:pPr>
        <w:widowControl w:val="0"/>
        <w:jc w:val="center"/>
        <w:rPr>
          <w:sz w:val="22"/>
          <w:szCs w:val="22"/>
        </w:rPr>
      </w:pPr>
    </w:p>
    <w:p w:rsidR="000E6707" w:rsidRDefault="000E6707" w:rsidP="005325B9">
      <w:pPr>
        <w:widowControl w:val="0"/>
        <w:jc w:val="center"/>
        <w:rPr>
          <w:sz w:val="22"/>
          <w:szCs w:val="22"/>
        </w:rPr>
      </w:pPr>
    </w:p>
    <w:p w:rsidR="000E6707" w:rsidRPr="002114F4" w:rsidRDefault="000E6707" w:rsidP="005325B9">
      <w:pPr>
        <w:widowControl w:val="0"/>
        <w:jc w:val="center"/>
        <w:rPr>
          <w:sz w:val="22"/>
          <w:szCs w:val="22"/>
        </w:rPr>
      </w:pPr>
    </w:p>
    <w:p w:rsidR="00746205" w:rsidRPr="002114F4" w:rsidRDefault="00746205" w:rsidP="005325B9">
      <w:pPr>
        <w:widowControl w:val="0"/>
        <w:jc w:val="center"/>
        <w:rPr>
          <w:sz w:val="22"/>
          <w:szCs w:val="22"/>
        </w:rPr>
      </w:pPr>
    </w:p>
    <w:p w:rsidR="00746205" w:rsidRPr="00746205" w:rsidRDefault="00746205" w:rsidP="005325B9">
      <w:pPr>
        <w:pStyle w:val="Heading4"/>
        <w:keepNext w:val="0"/>
        <w:widowControl w:val="0"/>
        <w:spacing w:after="120"/>
        <w:rPr>
          <w:bCs/>
          <w:szCs w:val="22"/>
        </w:rPr>
      </w:pPr>
      <w:r w:rsidRPr="00746205">
        <w:rPr>
          <w:bCs/>
          <w:szCs w:val="22"/>
        </w:rPr>
        <w:t>APPLICANT</w:t>
      </w:r>
    </w:p>
    <w:p w:rsidR="00746205" w:rsidRDefault="00D42BEB" w:rsidP="005325B9">
      <w:pPr>
        <w:widowControl w:val="0"/>
        <w:jc w:val="center"/>
        <w:rPr>
          <w:sz w:val="22"/>
          <w:szCs w:val="22"/>
        </w:rPr>
      </w:pPr>
      <w:r w:rsidRPr="00D42BEB">
        <w:rPr>
          <w:sz w:val="22"/>
          <w:szCs w:val="22"/>
        </w:rPr>
        <w:t>Shady Hills Energy Center, LLC</w:t>
      </w:r>
    </w:p>
    <w:p w:rsidR="000E6707" w:rsidRPr="00D42BEB" w:rsidRDefault="00D42BEB" w:rsidP="005325B9">
      <w:pPr>
        <w:widowControl w:val="0"/>
        <w:jc w:val="center"/>
        <w:rPr>
          <w:sz w:val="22"/>
          <w:szCs w:val="22"/>
        </w:rPr>
      </w:pPr>
      <w:r w:rsidRPr="00D42BEB">
        <w:rPr>
          <w:sz w:val="22"/>
          <w:szCs w:val="22"/>
        </w:rPr>
        <w:t>901 Main Avenue</w:t>
      </w:r>
    </w:p>
    <w:p w:rsidR="000E6707" w:rsidRPr="00746205" w:rsidRDefault="00D42BEB" w:rsidP="005325B9">
      <w:pPr>
        <w:widowControl w:val="0"/>
        <w:jc w:val="center"/>
        <w:rPr>
          <w:sz w:val="22"/>
          <w:szCs w:val="22"/>
        </w:rPr>
      </w:pPr>
      <w:r w:rsidRPr="00D42BEB">
        <w:rPr>
          <w:sz w:val="22"/>
          <w:szCs w:val="22"/>
        </w:rPr>
        <w:t>Norwalk</w:t>
      </w:r>
      <w:r w:rsidR="000E6707" w:rsidRPr="00D42BEB">
        <w:rPr>
          <w:sz w:val="22"/>
          <w:szCs w:val="22"/>
        </w:rPr>
        <w:t xml:space="preserve">, </w:t>
      </w:r>
      <w:r w:rsidRPr="00D42BEB">
        <w:rPr>
          <w:sz w:val="22"/>
          <w:szCs w:val="22"/>
        </w:rPr>
        <w:t>Connecticut</w:t>
      </w:r>
      <w:r w:rsidR="000E6707" w:rsidRPr="00D42BEB">
        <w:rPr>
          <w:sz w:val="22"/>
          <w:szCs w:val="22"/>
        </w:rPr>
        <w:t xml:space="preserve"> </w:t>
      </w:r>
      <w:r w:rsidRPr="00D42BEB">
        <w:rPr>
          <w:sz w:val="22"/>
          <w:szCs w:val="22"/>
        </w:rPr>
        <w:t>06851</w:t>
      </w:r>
    </w:p>
    <w:p w:rsidR="00746205" w:rsidRDefault="00746205" w:rsidP="005325B9">
      <w:pPr>
        <w:widowControl w:val="0"/>
        <w:jc w:val="center"/>
        <w:rPr>
          <w:sz w:val="22"/>
          <w:szCs w:val="22"/>
        </w:rPr>
      </w:pPr>
      <w:r w:rsidRPr="00746205">
        <w:rPr>
          <w:sz w:val="22"/>
          <w:szCs w:val="22"/>
        </w:rPr>
        <w:t xml:space="preserve">ARMS Facility ID No. </w:t>
      </w:r>
      <w:r w:rsidR="00D00B04">
        <w:rPr>
          <w:sz w:val="22"/>
          <w:szCs w:val="22"/>
        </w:rPr>
        <w:t>1010524</w:t>
      </w:r>
    </w:p>
    <w:p w:rsidR="000E6707" w:rsidRDefault="000E6707" w:rsidP="005325B9">
      <w:pPr>
        <w:widowControl w:val="0"/>
        <w:jc w:val="center"/>
        <w:rPr>
          <w:sz w:val="22"/>
          <w:szCs w:val="22"/>
        </w:rPr>
      </w:pPr>
    </w:p>
    <w:p w:rsidR="000E6707" w:rsidRDefault="000E6707" w:rsidP="005325B9">
      <w:pPr>
        <w:widowControl w:val="0"/>
        <w:jc w:val="center"/>
        <w:rPr>
          <w:sz w:val="22"/>
          <w:szCs w:val="22"/>
        </w:rPr>
      </w:pPr>
    </w:p>
    <w:p w:rsidR="000E6707" w:rsidRPr="00746205" w:rsidRDefault="000E6707"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PROJECT</w:t>
      </w:r>
    </w:p>
    <w:p w:rsidR="00F540FB" w:rsidRDefault="00193F10" w:rsidP="005325B9">
      <w:pPr>
        <w:pStyle w:val="Heading1"/>
        <w:keepNext w:val="0"/>
        <w:widowControl w:val="0"/>
        <w:spacing w:after="0"/>
        <w:ind w:left="0"/>
        <w:jc w:val="center"/>
        <w:rPr>
          <w:sz w:val="22"/>
          <w:szCs w:val="22"/>
        </w:rPr>
      </w:pPr>
      <w:r w:rsidRPr="00746205">
        <w:rPr>
          <w:sz w:val="22"/>
          <w:szCs w:val="22"/>
        </w:rPr>
        <w:t>Draft Permit No.</w:t>
      </w:r>
      <w:r w:rsidR="00F540FB">
        <w:rPr>
          <w:sz w:val="22"/>
          <w:szCs w:val="22"/>
        </w:rPr>
        <w:t xml:space="preserve"> PSD-FL-</w:t>
      </w:r>
      <w:r w:rsidR="00A60051">
        <w:rPr>
          <w:sz w:val="22"/>
          <w:szCs w:val="22"/>
        </w:rPr>
        <w:t>444</w:t>
      </w:r>
    </w:p>
    <w:p w:rsidR="00193F10" w:rsidRPr="00746205" w:rsidRDefault="00F540FB" w:rsidP="00F540FB">
      <w:pPr>
        <w:pStyle w:val="Heading1"/>
        <w:keepNext w:val="0"/>
        <w:widowControl w:val="0"/>
        <w:ind w:left="0"/>
        <w:jc w:val="center"/>
        <w:rPr>
          <w:sz w:val="22"/>
          <w:szCs w:val="22"/>
        </w:rPr>
      </w:pPr>
      <w:r>
        <w:rPr>
          <w:sz w:val="22"/>
          <w:szCs w:val="22"/>
        </w:rPr>
        <w:t>Project No.</w:t>
      </w:r>
      <w:r w:rsidR="00193F10" w:rsidRPr="00746205">
        <w:rPr>
          <w:sz w:val="22"/>
          <w:szCs w:val="22"/>
        </w:rPr>
        <w:t xml:space="preserve"> </w:t>
      </w:r>
      <w:r w:rsidR="00D00B04">
        <w:rPr>
          <w:sz w:val="22"/>
          <w:szCs w:val="22"/>
        </w:rPr>
        <w:t>1010524</w:t>
      </w:r>
      <w:r w:rsidR="00746205" w:rsidRPr="00A60051">
        <w:rPr>
          <w:sz w:val="22"/>
          <w:szCs w:val="22"/>
        </w:rPr>
        <w:t>-</w:t>
      </w:r>
      <w:r w:rsidR="00A60051" w:rsidRPr="00A60051">
        <w:rPr>
          <w:sz w:val="22"/>
          <w:szCs w:val="22"/>
        </w:rPr>
        <w:t>0</w:t>
      </w:r>
      <w:r w:rsidR="00D00B04">
        <w:rPr>
          <w:sz w:val="22"/>
          <w:szCs w:val="22"/>
        </w:rPr>
        <w:t>0</w:t>
      </w:r>
      <w:r w:rsidR="00A60051" w:rsidRPr="00A60051">
        <w:rPr>
          <w:sz w:val="22"/>
          <w:szCs w:val="22"/>
        </w:rPr>
        <w:t>1</w:t>
      </w:r>
      <w:r w:rsidR="00746205" w:rsidRPr="00A60051">
        <w:rPr>
          <w:sz w:val="22"/>
          <w:szCs w:val="22"/>
        </w:rPr>
        <w:t>-</w:t>
      </w:r>
      <w:r w:rsidR="00746205" w:rsidRPr="00746205">
        <w:rPr>
          <w:sz w:val="22"/>
          <w:szCs w:val="22"/>
        </w:rPr>
        <w:t>AC</w:t>
      </w:r>
    </w:p>
    <w:p w:rsidR="00193F10" w:rsidRPr="00746205" w:rsidRDefault="002105AC" w:rsidP="005325B9">
      <w:pPr>
        <w:widowControl w:val="0"/>
        <w:jc w:val="center"/>
        <w:rPr>
          <w:sz w:val="22"/>
          <w:szCs w:val="22"/>
        </w:rPr>
      </w:pPr>
      <w:r>
        <w:rPr>
          <w:sz w:val="22"/>
          <w:szCs w:val="22"/>
        </w:rPr>
        <w:t xml:space="preserve">Shady Hills </w:t>
      </w:r>
      <w:r w:rsidR="00A60051">
        <w:rPr>
          <w:sz w:val="22"/>
          <w:szCs w:val="22"/>
        </w:rPr>
        <w:t>Combined Cycle Facility</w:t>
      </w:r>
    </w:p>
    <w:p w:rsidR="000E6707" w:rsidRDefault="000E6707" w:rsidP="005325B9">
      <w:pPr>
        <w:widowControl w:val="0"/>
        <w:jc w:val="center"/>
        <w:rPr>
          <w:sz w:val="22"/>
          <w:szCs w:val="22"/>
        </w:rPr>
      </w:pPr>
    </w:p>
    <w:p w:rsidR="000E6707" w:rsidRPr="000E6707" w:rsidRDefault="000E6707" w:rsidP="005325B9">
      <w:pPr>
        <w:widowControl w:val="0"/>
        <w:jc w:val="center"/>
        <w:rPr>
          <w:sz w:val="22"/>
          <w:szCs w:val="22"/>
        </w:rPr>
      </w:pPr>
    </w:p>
    <w:p w:rsidR="00193F10" w:rsidRPr="000E6707" w:rsidRDefault="00193F10" w:rsidP="005325B9">
      <w:pPr>
        <w:widowControl w:val="0"/>
        <w:jc w:val="center"/>
        <w:rPr>
          <w:sz w:val="22"/>
          <w:szCs w:val="22"/>
        </w:rPr>
      </w:pPr>
    </w:p>
    <w:p w:rsidR="00193F10" w:rsidRDefault="00193F10" w:rsidP="005325B9">
      <w:pPr>
        <w:pStyle w:val="Heading4"/>
        <w:keepNext w:val="0"/>
        <w:widowControl w:val="0"/>
        <w:spacing w:after="120"/>
        <w:rPr>
          <w:bCs/>
          <w:szCs w:val="22"/>
        </w:rPr>
      </w:pPr>
      <w:r w:rsidRPr="00746205">
        <w:rPr>
          <w:bCs/>
          <w:szCs w:val="22"/>
        </w:rPr>
        <w:t>COUNTY</w:t>
      </w:r>
    </w:p>
    <w:p w:rsidR="00193F10" w:rsidRPr="00746205" w:rsidRDefault="00A60051" w:rsidP="005325B9">
      <w:pPr>
        <w:widowControl w:val="0"/>
        <w:jc w:val="center"/>
        <w:rPr>
          <w:sz w:val="22"/>
          <w:szCs w:val="22"/>
        </w:rPr>
      </w:pPr>
      <w:r w:rsidRPr="00A60051">
        <w:rPr>
          <w:sz w:val="22"/>
          <w:szCs w:val="22"/>
        </w:rPr>
        <w:t>Pasco</w:t>
      </w:r>
      <w:r w:rsidR="000E6707" w:rsidRPr="000E6707">
        <w:rPr>
          <w:sz w:val="22"/>
          <w:szCs w:val="22"/>
        </w:rPr>
        <w:t xml:space="preserve"> </w:t>
      </w:r>
      <w:r w:rsidR="00193F10" w:rsidRPr="000E6707">
        <w:rPr>
          <w:sz w:val="22"/>
          <w:szCs w:val="22"/>
        </w:rPr>
        <w:t>County</w:t>
      </w:r>
      <w:r w:rsidR="00730F9C">
        <w:rPr>
          <w:sz w:val="22"/>
          <w:szCs w:val="22"/>
        </w:rPr>
        <w:t>, Florida</w:t>
      </w:r>
    </w:p>
    <w:p w:rsidR="000E6707" w:rsidRDefault="000E6707" w:rsidP="005325B9">
      <w:pPr>
        <w:widowControl w:val="0"/>
        <w:jc w:val="center"/>
        <w:rPr>
          <w:sz w:val="22"/>
          <w:szCs w:val="22"/>
          <w:u w:val="single"/>
        </w:rPr>
      </w:pPr>
    </w:p>
    <w:p w:rsidR="000E6707" w:rsidRDefault="000E6707" w:rsidP="005325B9">
      <w:pPr>
        <w:widowControl w:val="0"/>
        <w:jc w:val="center"/>
        <w:rPr>
          <w:sz w:val="22"/>
          <w:szCs w:val="22"/>
          <w:u w:val="single"/>
        </w:rPr>
      </w:pPr>
    </w:p>
    <w:p w:rsidR="00746205" w:rsidRPr="00746205" w:rsidRDefault="00746205" w:rsidP="005325B9">
      <w:pPr>
        <w:widowControl w:val="0"/>
        <w:jc w:val="center"/>
        <w:rPr>
          <w:sz w:val="22"/>
          <w:szCs w:val="22"/>
        </w:rPr>
      </w:pPr>
    </w:p>
    <w:p w:rsidR="00193F10" w:rsidRPr="00746205" w:rsidRDefault="00193F10" w:rsidP="005325B9">
      <w:pPr>
        <w:pStyle w:val="Heading8"/>
        <w:keepNext w:val="0"/>
        <w:widowControl w:val="0"/>
        <w:jc w:val="center"/>
      </w:pPr>
      <w:r w:rsidRPr="00746205">
        <w:t>PERMITTING</w:t>
      </w:r>
      <w:r w:rsidR="00746205" w:rsidRPr="00746205">
        <w:t xml:space="preserve"> </w:t>
      </w:r>
      <w:r w:rsidRPr="00746205">
        <w:t>AUTHORITY</w:t>
      </w:r>
    </w:p>
    <w:p w:rsidR="00193F10" w:rsidRPr="00746205" w:rsidRDefault="00193F10" w:rsidP="005325B9">
      <w:pPr>
        <w:widowControl w:val="0"/>
        <w:jc w:val="center"/>
        <w:rPr>
          <w:sz w:val="22"/>
          <w:szCs w:val="22"/>
        </w:rPr>
      </w:pPr>
      <w:r w:rsidRPr="00746205">
        <w:rPr>
          <w:sz w:val="22"/>
          <w:szCs w:val="22"/>
        </w:rPr>
        <w:t>Florida Department of Environmental Protection</w:t>
      </w:r>
    </w:p>
    <w:p w:rsidR="00193F10" w:rsidRPr="00746205" w:rsidRDefault="00193F10" w:rsidP="005325B9">
      <w:pPr>
        <w:widowControl w:val="0"/>
        <w:jc w:val="center"/>
        <w:rPr>
          <w:sz w:val="22"/>
          <w:szCs w:val="22"/>
        </w:rPr>
      </w:pPr>
      <w:r w:rsidRPr="00746205">
        <w:rPr>
          <w:sz w:val="22"/>
          <w:szCs w:val="22"/>
        </w:rPr>
        <w:t>Division of Air Resource Management</w:t>
      </w:r>
    </w:p>
    <w:p w:rsidR="00193F10" w:rsidRPr="00746205" w:rsidRDefault="00BA5049" w:rsidP="005325B9">
      <w:pPr>
        <w:widowControl w:val="0"/>
        <w:jc w:val="center"/>
        <w:rPr>
          <w:sz w:val="22"/>
          <w:szCs w:val="22"/>
        </w:rPr>
      </w:pPr>
      <w:r>
        <w:rPr>
          <w:sz w:val="22"/>
          <w:szCs w:val="22"/>
        </w:rPr>
        <w:t>Office of Permitting and Compliance</w:t>
      </w:r>
    </w:p>
    <w:p w:rsidR="000E6707" w:rsidRDefault="000E6707" w:rsidP="005325B9">
      <w:pPr>
        <w:widowControl w:val="0"/>
        <w:jc w:val="center"/>
        <w:rPr>
          <w:sz w:val="22"/>
          <w:szCs w:val="22"/>
        </w:rPr>
      </w:pPr>
      <w:r>
        <w:rPr>
          <w:sz w:val="22"/>
          <w:szCs w:val="22"/>
        </w:rPr>
        <w:t>2600 Blair</w:t>
      </w:r>
      <w:r w:rsidR="00301492">
        <w:rPr>
          <w:sz w:val="22"/>
          <w:szCs w:val="22"/>
        </w:rPr>
        <w:t xml:space="preserve"> S</w:t>
      </w:r>
      <w:r>
        <w:rPr>
          <w:sz w:val="22"/>
          <w:szCs w:val="22"/>
        </w:rPr>
        <w:t>tone Road, MS#5505</w:t>
      </w:r>
    </w:p>
    <w:p w:rsidR="000E6707" w:rsidRDefault="000E6707" w:rsidP="005325B9">
      <w:pPr>
        <w:widowControl w:val="0"/>
        <w:jc w:val="center"/>
        <w:rPr>
          <w:sz w:val="22"/>
          <w:szCs w:val="22"/>
        </w:rPr>
      </w:pPr>
      <w:smartTag w:uri="urn:schemas-microsoft-com:office:smarttags" w:element="place">
        <w:smartTag w:uri="urn:schemas-microsoft-com:office:smarttags" w:element="City">
          <w:r>
            <w:rPr>
              <w:sz w:val="22"/>
              <w:szCs w:val="22"/>
            </w:rPr>
            <w:t>Tallahassee</w:t>
          </w:r>
        </w:smartTag>
        <w:r>
          <w:rPr>
            <w:sz w:val="22"/>
            <w:szCs w:val="22"/>
          </w:rPr>
          <w:t xml:space="preserve">, Florida  </w:t>
        </w:r>
        <w:smartTag w:uri="urn:schemas-microsoft-com:office:smarttags" w:element="PostalCode">
          <w:r>
            <w:rPr>
              <w:sz w:val="22"/>
              <w:szCs w:val="22"/>
            </w:rPr>
            <w:t>323</w:t>
          </w:r>
          <w:r w:rsidR="004C35F8">
            <w:rPr>
              <w:sz w:val="22"/>
              <w:szCs w:val="22"/>
            </w:rPr>
            <w:t>9</w:t>
          </w:r>
          <w:r>
            <w:rPr>
              <w:sz w:val="22"/>
              <w:szCs w:val="22"/>
            </w:rPr>
            <w:t>9-2400</w:t>
          </w:r>
        </w:smartTag>
      </w:smartTag>
    </w:p>
    <w:p w:rsidR="000E6707" w:rsidRPr="00746205" w:rsidRDefault="000E6707" w:rsidP="005325B9">
      <w:pPr>
        <w:widowControl w:val="0"/>
        <w:jc w:val="center"/>
        <w:rPr>
          <w:sz w:val="22"/>
          <w:szCs w:val="22"/>
        </w:rPr>
      </w:pPr>
    </w:p>
    <w:p w:rsidR="000E6707" w:rsidRDefault="000E6707" w:rsidP="005325B9">
      <w:pPr>
        <w:widowControl w:val="0"/>
        <w:jc w:val="center"/>
        <w:rPr>
          <w:sz w:val="22"/>
          <w:szCs w:val="22"/>
        </w:rPr>
      </w:pPr>
    </w:p>
    <w:p w:rsidR="00C472AA" w:rsidRDefault="00C472AA" w:rsidP="005325B9">
      <w:pPr>
        <w:widowControl w:val="0"/>
        <w:jc w:val="center"/>
        <w:rPr>
          <w:sz w:val="22"/>
          <w:szCs w:val="22"/>
        </w:rPr>
      </w:pPr>
    </w:p>
    <w:p w:rsidR="00193F10" w:rsidRPr="00746205" w:rsidRDefault="00193F10" w:rsidP="005325B9">
      <w:pPr>
        <w:widowControl w:val="0"/>
        <w:jc w:val="center"/>
        <w:rPr>
          <w:sz w:val="22"/>
          <w:szCs w:val="22"/>
        </w:rPr>
      </w:pPr>
    </w:p>
    <w:p w:rsidR="00193F10" w:rsidRPr="00746205" w:rsidRDefault="0005239E" w:rsidP="005325B9">
      <w:pPr>
        <w:widowControl w:val="0"/>
        <w:jc w:val="center"/>
        <w:rPr>
          <w:sz w:val="22"/>
          <w:szCs w:val="22"/>
        </w:rPr>
      </w:pPr>
      <w:r w:rsidRPr="00BE7DF9">
        <w:rPr>
          <w:sz w:val="22"/>
          <w:szCs w:val="22"/>
        </w:rPr>
        <w:t xml:space="preserve">May </w:t>
      </w:r>
      <w:r w:rsidR="00D47689">
        <w:rPr>
          <w:sz w:val="22"/>
          <w:szCs w:val="22"/>
        </w:rPr>
        <w:t>29</w:t>
      </w:r>
      <w:r w:rsidRPr="00BE7DF9">
        <w:rPr>
          <w:sz w:val="22"/>
          <w:szCs w:val="22"/>
        </w:rPr>
        <w:t>, 2018</w:t>
      </w:r>
    </w:p>
    <w:p w:rsidR="00193F10" w:rsidRPr="00125384" w:rsidRDefault="00193F10" w:rsidP="005325B9">
      <w:pPr>
        <w:widowControl w:val="0"/>
        <w:jc w:val="center"/>
        <w:rPr>
          <w:sz w:val="22"/>
          <w:szCs w:val="22"/>
        </w:rPr>
      </w:pPr>
    </w:p>
    <w:p w:rsidR="00193F10" w:rsidRPr="00746205" w:rsidRDefault="00193F10" w:rsidP="005325B9">
      <w:pPr>
        <w:widowControl w:val="0"/>
        <w:jc w:val="center"/>
        <w:rPr>
          <w:sz w:val="22"/>
          <w:szCs w:val="22"/>
        </w:rPr>
        <w:sectPr w:rsidR="00193F10" w:rsidRPr="00746205">
          <w:pgSz w:w="12240" w:h="15840" w:code="1"/>
          <w:pgMar w:top="720" w:right="1152" w:bottom="720" w:left="1152" w:header="720" w:footer="720" w:gutter="0"/>
          <w:paperSrc w:first="7" w:other="7"/>
          <w:pgNumType w:start="1"/>
          <w:cols w:space="720"/>
        </w:sectPr>
      </w:pPr>
    </w:p>
    <w:p w:rsidR="00193F10" w:rsidRPr="0005239E" w:rsidRDefault="00193F10" w:rsidP="0005239E">
      <w:pPr>
        <w:pStyle w:val="ListParagraph"/>
        <w:widowControl w:val="0"/>
        <w:numPr>
          <w:ilvl w:val="0"/>
          <w:numId w:val="3"/>
        </w:numPr>
        <w:spacing w:after="120"/>
        <w:ind w:left="720" w:hanging="720"/>
        <w:contextualSpacing w:val="0"/>
        <w:rPr>
          <w:b/>
          <w:caps/>
          <w:sz w:val="22"/>
          <w:szCs w:val="22"/>
        </w:rPr>
      </w:pPr>
      <w:r w:rsidRPr="0005239E">
        <w:rPr>
          <w:b/>
          <w:caps/>
          <w:sz w:val="22"/>
          <w:szCs w:val="22"/>
        </w:rPr>
        <w:lastRenderedPageBreak/>
        <w:t>General Project INFORMATION</w:t>
      </w:r>
    </w:p>
    <w:p w:rsidR="00193F10" w:rsidRPr="0005239E" w:rsidRDefault="00DB0149" w:rsidP="0005239E">
      <w:pPr>
        <w:pStyle w:val="ListParagraph"/>
        <w:widowControl w:val="0"/>
        <w:numPr>
          <w:ilvl w:val="1"/>
          <w:numId w:val="3"/>
        </w:numPr>
        <w:spacing w:after="120"/>
        <w:ind w:left="720" w:hanging="720"/>
        <w:contextualSpacing w:val="0"/>
        <w:rPr>
          <w:b/>
          <w:caps/>
          <w:sz w:val="22"/>
          <w:szCs w:val="22"/>
        </w:rPr>
      </w:pPr>
      <w:r w:rsidRPr="0005239E">
        <w:rPr>
          <w:b/>
          <w:bCs/>
          <w:sz w:val="22"/>
          <w:szCs w:val="22"/>
        </w:rPr>
        <w:t xml:space="preserve">SHGS </w:t>
      </w:r>
      <w:r w:rsidR="00193F10" w:rsidRPr="0005239E">
        <w:rPr>
          <w:b/>
          <w:bCs/>
          <w:sz w:val="22"/>
          <w:szCs w:val="22"/>
        </w:rPr>
        <w:t>Facility Description and Location</w:t>
      </w:r>
      <w:r w:rsidR="00E57D58" w:rsidRPr="0005239E">
        <w:rPr>
          <w:b/>
          <w:bCs/>
          <w:sz w:val="22"/>
          <w:szCs w:val="22"/>
        </w:rPr>
        <w:t xml:space="preserve"> </w:t>
      </w:r>
    </w:p>
    <w:p w:rsidR="00AE3C7E" w:rsidRDefault="00F93834" w:rsidP="000C3B62">
      <w:pPr>
        <w:pStyle w:val="BodyText3"/>
        <w:widowControl w:val="0"/>
        <w:numPr>
          <w:ilvl w:val="12"/>
          <w:numId w:val="0"/>
        </w:numPr>
        <w:rPr>
          <w:szCs w:val="22"/>
        </w:rPr>
      </w:pPr>
      <w:r>
        <w:rPr>
          <w:szCs w:val="22"/>
        </w:rPr>
        <w:t xml:space="preserve">The </w:t>
      </w:r>
      <w:r w:rsidR="00AE3C7E" w:rsidRPr="00AE3C7E">
        <w:rPr>
          <w:szCs w:val="22"/>
        </w:rPr>
        <w:t>Shady Hills Generating Station</w:t>
      </w:r>
      <w:r w:rsidR="00C47FD4">
        <w:rPr>
          <w:szCs w:val="22"/>
        </w:rPr>
        <w:t xml:space="preserve"> (SHGS)</w:t>
      </w:r>
      <w:r w:rsidR="00AE3C7E" w:rsidRPr="00AE3C7E">
        <w:rPr>
          <w:szCs w:val="22"/>
        </w:rPr>
        <w:t xml:space="preserve"> </w:t>
      </w:r>
      <w:r w:rsidR="00C47FD4" w:rsidRPr="00C47FD4">
        <w:rPr>
          <w:szCs w:val="22"/>
        </w:rPr>
        <w:t xml:space="preserve">is owned and operated by Shady Hills </w:t>
      </w:r>
      <w:r w:rsidR="0005239E">
        <w:rPr>
          <w:szCs w:val="22"/>
        </w:rPr>
        <w:t>Power Company, LL</w:t>
      </w:r>
      <w:r w:rsidR="00C47FD4" w:rsidRPr="00C47FD4">
        <w:rPr>
          <w:szCs w:val="22"/>
        </w:rPr>
        <w:t>C</w:t>
      </w:r>
      <w:r w:rsidR="00C47FD4">
        <w:rPr>
          <w:szCs w:val="22"/>
        </w:rPr>
        <w:t>.</w:t>
      </w:r>
      <w:r w:rsidR="00C47FD4" w:rsidRPr="00C47FD4">
        <w:rPr>
          <w:szCs w:val="22"/>
        </w:rPr>
        <w:t xml:space="preserve"> </w:t>
      </w:r>
      <w:r w:rsidR="00C47FD4">
        <w:rPr>
          <w:szCs w:val="22"/>
        </w:rPr>
        <w:t xml:space="preserve"> The SHGS </w:t>
      </w:r>
      <w:r w:rsidR="00AE3C7E" w:rsidRPr="00AE3C7E">
        <w:rPr>
          <w:szCs w:val="22"/>
        </w:rPr>
        <w:t xml:space="preserve">consists of three, dual-fuel, nominal </w:t>
      </w:r>
      <w:r w:rsidR="005F0D2C" w:rsidRPr="00AE3C7E">
        <w:rPr>
          <w:szCs w:val="22"/>
        </w:rPr>
        <w:t>170-megawatt</w:t>
      </w:r>
      <w:r w:rsidR="00AE3C7E" w:rsidRPr="00AE3C7E">
        <w:rPr>
          <w:szCs w:val="22"/>
        </w:rPr>
        <w:t xml:space="preserve"> (MW) General Electric (GE 7FA) combustion turbine-electric generators operating in simple-cycle peaking and</w:t>
      </w:r>
      <w:r w:rsidR="00AE3C7E">
        <w:rPr>
          <w:szCs w:val="22"/>
        </w:rPr>
        <w:t xml:space="preserve"> </w:t>
      </w:r>
      <w:r w:rsidR="00AE3C7E" w:rsidRPr="00AE3C7E">
        <w:rPr>
          <w:szCs w:val="22"/>
        </w:rPr>
        <w:t xml:space="preserve">intermittent-duty mode, one 10 </w:t>
      </w:r>
      <w:r w:rsidR="00331C09" w:rsidRPr="00534D5F">
        <w:rPr>
          <w:szCs w:val="22"/>
        </w:rPr>
        <w:t>million British thermal units per hour (MMBtu/h</w:t>
      </w:r>
      <w:r w:rsidR="00331C09">
        <w:rPr>
          <w:szCs w:val="22"/>
        </w:rPr>
        <w:t>ou</w:t>
      </w:r>
      <w:r w:rsidR="00331C09" w:rsidRPr="00534D5F">
        <w:rPr>
          <w:szCs w:val="22"/>
        </w:rPr>
        <w:t>r)</w:t>
      </w:r>
      <w:r w:rsidR="00331C09">
        <w:rPr>
          <w:szCs w:val="22"/>
        </w:rPr>
        <w:t xml:space="preserve"> </w:t>
      </w:r>
      <w:r w:rsidR="00AE3C7E" w:rsidRPr="00AE3C7E">
        <w:rPr>
          <w:szCs w:val="22"/>
        </w:rPr>
        <w:t>natural gas-fired process heater, one 1,341 horsepower (hp)</w:t>
      </w:r>
      <w:r w:rsidR="00AE3C7E">
        <w:rPr>
          <w:szCs w:val="22"/>
        </w:rPr>
        <w:t xml:space="preserve"> </w:t>
      </w:r>
      <w:r w:rsidR="00AE3C7E" w:rsidRPr="00AE3C7E">
        <w:rPr>
          <w:szCs w:val="22"/>
        </w:rPr>
        <w:t xml:space="preserve">diesel-fired emergency generator, one 222 hp diesel-fired fire pump engine, and one </w:t>
      </w:r>
      <w:r w:rsidR="007A2C43" w:rsidRPr="00AE3C7E">
        <w:rPr>
          <w:szCs w:val="22"/>
        </w:rPr>
        <w:t>2.8-million-gallon</w:t>
      </w:r>
      <w:r w:rsidR="00AE3C7E" w:rsidRPr="00AE3C7E">
        <w:rPr>
          <w:szCs w:val="22"/>
        </w:rPr>
        <w:t xml:space="preserve"> fuel</w:t>
      </w:r>
      <w:r w:rsidR="00AE3C7E">
        <w:rPr>
          <w:szCs w:val="22"/>
        </w:rPr>
        <w:t xml:space="preserve"> </w:t>
      </w:r>
      <w:r w:rsidR="00AE3C7E" w:rsidRPr="00AE3C7E">
        <w:rPr>
          <w:szCs w:val="22"/>
        </w:rPr>
        <w:t xml:space="preserve">oil storage tank. </w:t>
      </w:r>
      <w:r w:rsidR="00B7291E">
        <w:rPr>
          <w:szCs w:val="22"/>
        </w:rPr>
        <w:t xml:space="preserve"> </w:t>
      </w:r>
      <w:r w:rsidR="00EE1469">
        <w:rPr>
          <w:szCs w:val="22"/>
        </w:rPr>
        <w:t xml:space="preserve">The facility was also previously authorized to install two additional simple cycle combustion turbines, identified as </w:t>
      </w:r>
      <w:bookmarkStart w:id="1" w:name="_Hlk513216724"/>
      <w:r w:rsidR="00941E6D">
        <w:rPr>
          <w:szCs w:val="22"/>
        </w:rPr>
        <w:t>emissions unit</w:t>
      </w:r>
      <w:r w:rsidR="00EE1469">
        <w:rPr>
          <w:szCs w:val="22"/>
        </w:rPr>
        <w:t xml:space="preserve"> Nos. 005 and 006</w:t>
      </w:r>
      <w:bookmarkEnd w:id="1"/>
      <w:r w:rsidR="00EE1469">
        <w:rPr>
          <w:szCs w:val="22"/>
        </w:rPr>
        <w:t xml:space="preserve">, through Permit No. 1010373-007-AC.  However, </w:t>
      </w:r>
      <w:r w:rsidR="00941E6D">
        <w:rPr>
          <w:szCs w:val="22"/>
        </w:rPr>
        <w:t>emissions unit</w:t>
      </w:r>
      <w:r w:rsidR="00941E6D" w:rsidRPr="00941E6D">
        <w:rPr>
          <w:szCs w:val="22"/>
        </w:rPr>
        <w:t xml:space="preserve"> Nos. 005 and 006</w:t>
      </w:r>
      <w:r w:rsidR="00941E6D">
        <w:rPr>
          <w:szCs w:val="22"/>
        </w:rPr>
        <w:t xml:space="preserve"> are no longer planned for construction.</w:t>
      </w:r>
      <w:r w:rsidR="00EE1469">
        <w:rPr>
          <w:szCs w:val="22"/>
        </w:rPr>
        <w:t xml:space="preserve">  </w:t>
      </w:r>
      <w:r w:rsidR="00941E6D">
        <w:rPr>
          <w:szCs w:val="22"/>
        </w:rPr>
        <w:t xml:space="preserve">The </w:t>
      </w:r>
      <w:r w:rsidR="00AE3C7E" w:rsidRPr="00AE3C7E">
        <w:rPr>
          <w:szCs w:val="22"/>
        </w:rPr>
        <w:t>SHGS is authorized to operate under Title V Air Operating Permit No. 1010373-018-AV.</w:t>
      </w:r>
      <w:r w:rsidR="000C3B62">
        <w:rPr>
          <w:szCs w:val="22"/>
        </w:rPr>
        <w:t xml:space="preserve"> </w:t>
      </w:r>
      <w:r w:rsidR="000C3B62" w:rsidRPr="000C3B62">
        <w:t xml:space="preserve"> </w:t>
      </w:r>
      <w:r w:rsidR="000C3B62" w:rsidRPr="000C3B62">
        <w:rPr>
          <w:szCs w:val="22"/>
        </w:rPr>
        <w:t xml:space="preserve">A natural gas Florida Gas Transmission (FGT) lateral </w:t>
      </w:r>
      <w:r w:rsidR="00941E6D">
        <w:rPr>
          <w:szCs w:val="22"/>
        </w:rPr>
        <w:t xml:space="preserve">to the plant </w:t>
      </w:r>
      <w:r w:rsidR="000C3B62" w:rsidRPr="000C3B62">
        <w:rPr>
          <w:szCs w:val="22"/>
        </w:rPr>
        <w:t>provides</w:t>
      </w:r>
      <w:r w:rsidR="000C3B62">
        <w:rPr>
          <w:szCs w:val="22"/>
        </w:rPr>
        <w:t xml:space="preserve"> </w:t>
      </w:r>
      <w:r w:rsidR="000C3B62" w:rsidRPr="000C3B62">
        <w:rPr>
          <w:szCs w:val="22"/>
        </w:rPr>
        <w:t xml:space="preserve">natural gas to the existing electrical generating units that are connected to a </w:t>
      </w:r>
      <w:r w:rsidR="00484662" w:rsidRPr="000C3B62">
        <w:rPr>
          <w:szCs w:val="22"/>
        </w:rPr>
        <w:t>230-kV</w:t>
      </w:r>
      <w:r w:rsidR="000C3B62" w:rsidRPr="000C3B62">
        <w:rPr>
          <w:szCs w:val="22"/>
        </w:rPr>
        <w:t xml:space="preserve"> transmission facility</w:t>
      </w:r>
      <w:r w:rsidR="000C3B62">
        <w:rPr>
          <w:szCs w:val="22"/>
        </w:rPr>
        <w:t>.</w:t>
      </w:r>
    </w:p>
    <w:p w:rsidR="00682088" w:rsidRDefault="0023502E" w:rsidP="00962BE4">
      <w:pPr>
        <w:pStyle w:val="BodyText3"/>
        <w:widowControl w:val="0"/>
        <w:numPr>
          <w:ilvl w:val="12"/>
          <w:numId w:val="0"/>
        </w:numPr>
        <w:spacing w:before="0"/>
      </w:pPr>
      <w:r>
        <w:rPr>
          <w:szCs w:val="22"/>
        </w:rPr>
        <w:t xml:space="preserve">The facility is categorized under </w:t>
      </w:r>
      <w:r>
        <w:rPr>
          <w:bCs/>
          <w:szCs w:val="22"/>
        </w:rPr>
        <w:t xml:space="preserve">Standard Industrial Classification Code No. 4911. </w:t>
      </w:r>
      <w:r>
        <w:rPr>
          <w:szCs w:val="22"/>
        </w:rPr>
        <w:t xml:space="preserve"> The existing Shady Hills Generating Station </w:t>
      </w:r>
      <w:r w:rsidR="00046ABF">
        <w:rPr>
          <w:szCs w:val="22"/>
        </w:rPr>
        <w:t>is in</w:t>
      </w:r>
      <w:r>
        <w:rPr>
          <w:szCs w:val="22"/>
        </w:rPr>
        <w:t xml:space="preserve"> Pasco County at 14240 Merchant Energy Way, Shady Hills, Florida</w:t>
      </w:r>
      <w:r>
        <w:t>.  The UTM coordinates of the existing facility are Zone 17, 347.2 kilometers (km) East, and 3,138.8 km North.  This site is in an area that is in attainment (or designated as unclassifiable) for all air pollutants subject to Ambient Air Quality Standards (AAQS).</w:t>
      </w:r>
    </w:p>
    <w:p w:rsidR="00264AA9" w:rsidRPr="00E90AE3" w:rsidRDefault="00C607A9" w:rsidP="0005239E">
      <w:pPr>
        <w:pStyle w:val="BodyText3"/>
        <w:widowControl w:val="0"/>
        <w:numPr>
          <w:ilvl w:val="12"/>
          <w:numId w:val="0"/>
        </w:numPr>
        <w:spacing w:before="0"/>
        <w:rPr>
          <w:bCs/>
          <w:i/>
          <w:szCs w:val="22"/>
        </w:rPr>
      </w:pPr>
      <w:r>
        <w:rPr>
          <w:b/>
          <w:highlight w:val="green"/>
        </w:rPr>
        <w:fldChar w:fldCharType="begin"/>
      </w:r>
      <w:r>
        <w:rPr>
          <w:b/>
          <w:highlight w:val="green"/>
        </w:rPr>
        <w:instrText xml:space="preserve"> REF _Ref512330325 \h </w:instrText>
      </w:r>
      <w:r>
        <w:rPr>
          <w:b/>
          <w:highlight w:val="green"/>
        </w:rPr>
      </w:r>
      <w:r>
        <w:rPr>
          <w:b/>
          <w:highlight w:val="green"/>
        </w:rPr>
        <w:fldChar w:fldCharType="separate"/>
      </w:r>
      <w:r w:rsidR="003E3FA4" w:rsidRPr="00C074F5">
        <w:rPr>
          <w:b/>
        </w:rPr>
        <w:t>F</w:t>
      </w:r>
      <w:r w:rsidR="003E3FA4" w:rsidRPr="00C074F5">
        <w:rPr>
          <w:rFonts w:ascii="Times New Roman Bold" w:hAnsi="Times New Roman Bold"/>
          <w:b/>
        </w:rPr>
        <w:t>igure</w:t>
      </w:r>
      <w:r w:rsidR="003E3FA4" w:rsidRPr="00C074F5">
        <w:rPr>
          <w:b/>
        </w:rPr>
        <w:t xml:space="preserve"> </w:t>
      </w:r>
      <w:r w:rsidR="003E3FA4">
        <w:rPr>
          <w:b/>
          <w:noProof/>
        </w:rPr>
        <w:t>1</w:t>
      </w:r>
      <w:r>
        <w:rPr>
          <w:b/>
          <w:highlight w:val="green"/>
        </w:rPr>
        <w:fldChar w:fldCharType="end"/>
      </w:r>
      <w:r w:rsidR="0023502E">
        <w:t xml:space="preserve"> </w:t>
      </w:r>
      <w:r w:rsidR="00DA78BE" w:rsidRPr="00DA78BE">
        <w:t xml:space="preserve">shows the location of </w:t>
      </w:r>
      <w:r w:rsidR="00DA78BE">
        <w:t xml:space="preserve">Pasco County, </w:t>
      </w:r>
      <w:r w:rsidR="00DA78BE" w:rsidRPr="00DA78BE">
        <w:t xml:space="preserve">while </w:t>
      </w:r>
      <w:r w:rsidR="00DA78BE">
        <w:t>t</w:t>
      </w:r>
      <w:r w:rsidR="00DA78BE" w:rsidRPr="00DA78BE">
        <w:t xml:space="preserve">he location of the </w:t>
      </w:r>
      <w:r w:rsidR="00F93834" w:rsidRPr="00AE3C7E">
        <w:rPr>
          <w:szCs w:val="22"/>
        </w:rPr>
        <w:t xml:space="preserve">SHGS </w:t>
      </w:r>
      <w:r w:rsidR="00DA78BE" w:rsidRPr="00DA78BE">
        <w:t xml:space="preserve">is shown </w:t>
      </w:r>
      <w:r w:rsidR="00245904" w:rsidRPr="00245904">
        <w:rPr>
          <w:b/>
          <w:highlight w:val="green"/>
        </w:rPr>
        <w:fldChar w:fldCharType="begin"/>
      </w:r>
      <w:r w:rsidR="00245904" w:rsidRPr="00245904">
        <w:instrText xml:space="preserve"> REF _Ref507680734 \h </w:instrText>
      </w:r>
      <w:r w:rsidR="00245904">
        <w:rPr>
          <w:b/>
          <w:highlight w:val="green"/>
        </w:rPr>
        <w:instrText xml:space="preserve"> \* MERGEFORMAT </w:instrText>
      </w:r>
      <w:r w:rsidR="00245904" w:rsidRPr="00245904">
        <w:rPr>
          <w:b/>
          <w:highlight w:val="green"/>
        </w:rPr>
      </w:r>
      <w:r w:rsidR="00245904" w:rsidRPr="00245904">
        <w:rPr>
          <w:b/>
          <w:highlight w:val="green"/>
        </w:rPr>
        <w:fldChar w:fldCharType="separate"/>
      </w:r>
      <w:r w:rsidR="003E3FA4" w:rsidRPr="00C074F5">
        <w:rPr>
          <w:rFonts w:ascii="Times New Roman Bold" w:hAnsi="Times New Roman Bold"/>
        </w:rPr>
        <w:t xml:space="preserve">Figure </w:t>
      </w:r>
      <w:r w:rsidR="003E3FA4">
        <w:rPr>
          <w:rFonts w:ascii="Times New Roman Bold" w:hAnsi="Times New Roman Bold"/>
          <w:noProof/>
        </w:rPr>
        <w:t>2</w:t>
      </w:r>
      <w:r w:rsidR="00245904" w:rsidRPr="00245904">
        <w:rPr>
          <w:b/>
          <w:highlight w:val="green"/>
        </w:rPr>
        <w:fldChar w:fldCharType="end"/>
      </w:r>
      <w:r w:rsidR="0023502E">
        <w:t>.</w:t>
      </w:r>
      <w:r w:rsidR="006940EF" w:rsidRPr="006940EF">
        <w:rPr>
          <w:noProof/>
        </w:rPr>
        <w:t xml:space="preserve"> </w:t>
      </w:r>
    </w:p>
    <w:p w:rsidR="00C074F5" w:rsidRDefault="005D4CC7" w:rsidP="0005239E">
      <w:pPr>
        <w:pStyle w:val="Heading9"/>
        <w:keepNext w:val="0"/>
        <w:widowControl w:val="0"/>
        <w:tabs>
          <w:tab w:val="left" w:pos="5040"/>
        </w:tabs>
        <w:spacing w:after="60"/>
        <w:ind w:left="0"/>
        <w:rPr>
          <w:u w:val="none"/>
        </w:rPr>
      </w:pPr>
      <w:r>
        <w:rPr>
          <w:b/>
          <w:bCs/>
          <w:noProof/>
          <w:szCs w:val="22"/>
          <w:u w:val="none"/>
        </w:rPr>
        <mc:AlternateContent>
          <mc:Choice Requires="wps">
            <w:drawing>
              <wp:anchor distT="0" distB="0" distL="114300" distR="114300" simplePos="0" relativeHeight="251660288" behindDoc="0" locked="0" layoutInCell="1" allowOverlap="1">
                <wp:simplePos x="0" y="0"/>
                <wp:positionH relativeFrom="column">
                  <wp:posOffset>335280</wp:posOffset>
                </wp:positionH>
                <wp:positionV relativeFrom="paragraph">
                  <wp:posOffset>1093470</wp:posOffset>
                </wp:positionV>
                <wp:extent cx="914400" cy="238125"/>
                <wp:effectExtent l="9525" t="9525" r="9525" b="9525"/>
                <wp:wrapNone/>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38125"/>
                        </a:xfrm>
                        <a:prstGeom prst="rect">
                          <a:avLst/>
                        </a:prstGeom>
                        <a:solidFill>
                          <a:srgbClr val="FFFFFF"/>
                        </a:solidFill>
                        <a:ln w="9525">
                          <a:solidFill>
                            <a:srgbClr val="000000"/>
                          </a:solidFill>
                          <a:miter lim="800000"/>
                          <a:headEnd/>
                          <a:tailEnd/>
                        </a:ln>
                      </wps:spPr>
                      <wps:txbx>
                        <w:txbxContent>
                          <w:p w:rsidR="00D47689" w:rsidRDefault="00D47689">
                            <w:r>
                              <w:t>Pasco County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26" type="#_x0000_t202" style="position:absolute;margin-left:26.4pt;margin-top:86.1pt;width:1in;height:18.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">
                <v:textbox>
                  <w:txbxContent>
                    <w:p w:rsidR="00D47689" w:rsidRDefault="00D47689">
                      <w:r>
                        <w:t>Pasco County</w:t>
                      </w:r>
                    </w:p>
                  </w:txbxContent>
                </v:textbox>
              </v:shape>
            </w:pict>
          </mc:Fallback>
        </mc:AlternateContent>
      </w:r>
      <w:r w:rsidR="00EE1469">
        <w:rPr>
          <w:b/>
          <w:bCs/>
          <w:noProof/>
          <w:szCs w:val="22"/>
          <w:u w:val="none"/>
        </w:rPr>
        <mc:AlternateContent>
          <mc:Choice Requires="wps">
            <w:drawing>
              <wp:anchor distT="0" distB="0" distL="114300" distR="114300" simplePos="0" relativeHeight="251658240" behindDoc="0" locked="0" layoutInCell="1" allowOverlap="1">
                <wp:simplePos x="0" y="0"/>
                <wp:positionH relativeFrom="column">
                  <wp:posOffset>544830</wp:posOffset>
                </wp:positionH>
                <wp:positionV relativeFrom="paragraph">
                  <wp:posOffset>1189355</wp:posOffset>
                </wp:positionV>
                <wp:extent cx="1228725" cy="0"/>
                <wp:effectExtent l="9525" t="57785" r="19050" b="56515"/>
                <wp:wrapNone/>
                <wp:docPr id="6"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287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6C8646A" id="_x0000_t32" coordsize="21600,21600" o:spt="32" o:oned="t" path="m,l21600,21600e" filled="f">
                <v:path arrowok="t" fillok="f" o:connecttype="none"/>
                <o:lock v:ext="edit" shapetype="t"/>
              </v:shapetype>
              <v:shape id="AutoShape 2" o:spid="_x0000_s1026" type="#_x0000_t32" style="position:absolute;margin-left:42.9pt;margin-top:93.65pt;width:96.7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">
                <v:stroke endarrow="block"/>
              </v:shape>
            </w:pict>
          </mc:Fallback>
        </mc:AlternateContent>
      </w:r>
      <w:r w:rsidR="00AD1ECA">
        <w:rPr>
          <w:b/>
          <w:bCs/>
          <w:noProof/>
          <w:szCs w:val="22"/>
          <w:u w:val="none"/>
        </w:rPr>
        <w:drawing>
          <wp:inline distT="0" distB="0" distL="0" distR="0">
            <wp:extent cx="2819400" cy="2767330"/>
            <wp:effectExtent l="19050" t="19050" r="19050" b="139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826452" cy="2774252"/>
                    </a:xfrm>
                    <a:prstGeom prst="rect">
                      <a:avLst/>
                    </a:prstGeom>
                    <a:noFill/>
                    <a:ln w="12700">
                      <a:solidFill>
                        <a:schemeClr val="tx1"/>
                      </a:solidFill>
                    </a:ln>
                  </pic:spPr>
                </pic:pic>
              </a:graphicData>
            </a:graphic>
          </wp:inline>
        </w:drawing>
      </w:r>
      <w:bookmarkStart w:id="2" w:name="_Ref507680691"/>
      <w:bookmarkStart w:id="3" w:name="_Ref507680686"/>
      <w:r w:rsidR="00C074F5">
        <w:rPr>
          <w:u w:val="none"/>
        </w:rPr>
        <w:tab/>
      </w:r>
      <w:r w:rsidR="00C074F5" w:rsidRPr="00373183">
        <w:rPr>
          <w:noProof/>
          <w:u w:val="none"/>
        </w:rPr>
        <w:drawing>
          <wp:inline distT="0" distB="0" distL="0" distR="0" wp14:anchorId="3AFE8CDD" wp14:editId="526EBB79">
            <wp:extent cx="2914650" cy="2766695"/>
            <wp:effectExtent l="19050" t="19050" r="19050" b="146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81267" cy="2829930"/>
                    </a:xfrm>
                    <a:prstGeom prst="rect">
                      <a:avLst/>
                    </a:prstGeom>
                    <a:noFill/>
                    <a:ln w="12700">
                      <a:solidFill>
                        <a:schemeClr val="tx1"/>
                      </a:solidFill>
                    </a:ln>
                  </pic:spPr>
                </pic:pic>
              </a:graphicData>
            </a:graphic>
          </wp:inline>
        </w:drawing>
      </w:r>
    </w:p>
    <w:p w:rsidR="00593A56" w:rsidRPr="00245904" w:rsidRDefault="00245904" w:rsidP="00D00B04">
      <w:pPr>
        <w:pStyle w:val="Heading9"/>
        <w:keepNext w:val="0"/>
        <w:widowControl w:val="0"/>
        <w:tabs>
          <w:tab w:val="left" w:pos="4860"/>
        </w:tabs>
        <w:spacing w:before="120"/>
        <w:ind w:left="0" w:firstLine="187"/>
        <w:rPr>
          <w:rFonts w:ascii="Times New Roman Bold" w:hAnsi="Times New Roman Bold"/>
          <w:b/>
          <w:bCs/>
          <w:caps/>
          <w:szCs w:val="22"/>
          <w:u w:val="none"/>
        </w:rPr>
      </w:pPr>
      <w:bookmarkStart w:id="4" w:name="_Ref512330325"/>
      <w:bookmarkStart w:id="5" w:name="_Ref512330318"/>
      <w:r w:rsidRPr="00C074F5">
        <w:rPr>
          <w:b/>
          <w:u w:val="none"/>
        </w:rPr>
        <w:t>F</w:t>
      </w:r>
      <w:r w:rsidRPr="00C074F5">
        <w:rPr>
          <w:rFonts w:ascii="Times New Roman Bold" w:hAnsi="Times New Roman Bold"/>
          <w:b/>
          <w:u w:val="none"/>
        </w:rPr>
        <w:t>igure</w:t>
      </w:r>
      <w:r w:rsidRPr="00C074F5">
        <w:rPr>
          <w:b/>
          <w:u w:val="none"/>
        </w:rPr>
        <w:t xml:space="preserve"> </w:t>
      </w:r>
      <w:r w:rsidR="00845550">
        <w:rPr>
          <w:b/>
          <w:u w:val="none"/>
        </w:rPr>
        <w:fldChar w:fldCharType="begin"/>
      </w:r>
      <w:r w:rsidR="00845550">
        <w:rPr>
          <w:b/>
          <w:u w:val="none"/>
        </w:rPr>
        <w:instrText xml:space="preserve"> SEQ Figure \* ARABIC </w:instrText>
      </w:r>
      <w:r w:rsidR="00845550">
        <w:rPr>
          <w:b/>
          <w:u w:val="none"/>
        </w:rPr>
        <w:fldChar w:fldCharType="separate"/>
      </w:r>
      <w:r w:rsidR="003E3FA4">
        <w:rPr>
          <w:b/>
          <w:noProof/>
          <w:u w:val="none"/>
        </w:rPr>
        <w:t>1</w:t>
      </w:r>
      <w:r w:rsidR="00845550">
        <w:rPr>
          <w:b/>
          <w:u w:val="none"/>
        </w:rPr>
        <w:fldChar w:fldCharType="end"/>
      </w:r>
      <w:bookmarkEnd w:id="2"/>
      <w:bookmarkEnd w:id="4"/>
      <w:r w:rsidRPr="00C074F5">
        <w:rPr>
          <w:b/>
          <w:u w:val="none"/>
        </w:rPr>
        <w:t>.</w:t>
      </w:r>
      <w:r w:rsidRPr="00245904">
        <w:rPr>
          <w:u w:val="none"/>
        </w:rPr>
        <w:t xml:space="preserve">  </w:t>
      </w:r>
      <w:r w:rsidRPr="00245904">
        <w:rPr>
          <w:rFonts w:ascii="Times New Roman Bold" w:hAnsi="Times New Roman Bold"/>
          <w:u w:val="none"/>
        </w:rPr>
        <w:t>Location of Pasco County, Florida</w:t>
      </w:r>
      <w:bookmarkEnd w:id="3"/>
      <w:r w:rsidR="00C074F5">
        <w:rPr>
          <w:rFonts w:ascii="Times New Roman Bold" w:hAnsi="Times New Roman Bold"/>
          <w:u w:val="none"/>
        </w:rPr>
        <w:t xml:space="preserve">. </w:t>
      </w:r>
      <w:r w:rsidR="00C074F5">
        <w:rPr>
          <w:rFonts w:ascii="Times New Roman Bold" w:hAnsi="Times New Roman Bold"/>
          <w:u w:val="none"/>
        </w:rPr>
        <w:tab/>
      </w:r>
      <w:bookmarkStart w:id="6" w:name="_Ref507680734"/>
      <w:r w:rsidRPr="00C074F5">
        <w:rPr>
          <w:rFonts w:ascii="Times New Roman Bold" w:hAnsi="Times New Roman Bold"/>
          <w:u w:val="none"/>
        </w:rPr>
        <w:t xml:space="preserve">Figure </w:t>
      </w:r>
      <w:r w:rsidR="00845550">
        <w:rPr>
          <w:rFonts w:ascii="Times New Roman Bold" w:hAnsi="Times New Roman Bold"/>
          <w:u w:val="none"/>
        </w:rPr>
        <w:fldChar w:fldCharType="begin"/>
      </w:r>
      <w:r w:rsidR="00845550">
        <w:rPr>
          <w:rFonts w:ascii="Times New Roman Bold" w:hAnsi="Times New Roman Bold"/>
          <w:u w:val="none"/>
        </w:rPr>
        <w:instrText xml:space="preserve"> SEQ Figure \* ARABIC </w:instrText>
      </w:r>
      <w:r w:rsidR="00845550">
        <w:rPr>
          <w:rFonts w:ascii="Times New Roman Bold" w:hAnsi="Times New Roman Bold"/>
          <w:u w:val="none"/>
        </w:rPr>
        <w:fldChar w:fldCharType="separate"/>
      </w:r>
      <w:r w:rsidR="003E3FA4">
        <w:rPr>
          <w:rFonts w:ascii="Times New Roman Bold" w:hAnsi="Times New Roman Bold"/>
          <w:noProof/>
          <w:u w:val="none"/>
        </w:rPr>
        <w:t>2</w:t>
      </w:r>
      <w:r w:rsidR="00845550">
        <w:rPr>
          <w:rFonts w:ascii="Times New Roman Bold" w:hAnsi="Times New Roman Bold"/>
          <w:u w:val="none"/>
        </w:rPr>
        <w:fldChar w:fldCharType="end"/>
      </w:r>
      <w:bookmarkEnd w:id="6"/>
      <w:r w:rsidRPr="00C074F5">
        <w:rPr>
          <w:rFonts w:ascii="Times New Roman Bold" w:hAnsi="Times New Roman Bold"/>
          <w:caps/>
          <w:u w:val="none"/>
        </w:rPr>
        <w:t xml:space="preserve">.  </w:t>
      </w:r>
      <w:r w:rsidRPr="00C074F5">
        <w:rPr>
          <w:rFonts w:ascii="Times New Roman Bold" w:hAnsi="Times New Roman Bold"/>
          <w:u w:val="none"/>
        </w:rPr>
        <w:t>Location of</w:t>
      </w:r>
      <w:r w:rsidRPr="00C074F5">
        <w:rPr>
          <w:rFonts w:ascii="Times New Roman Bold" w:hAnsi="Times New Roman Bold"/>
          <w:caps/>
          <w:u w:val="none"/>
        </w:rPr>
        <w:t xml:space="preserve"> SHGS</w:t>
      </w:r>
      <w:r w:rsidR="00D00B04">
        <w:rPr>
          <w:rFonts w:ascii="Times New Roman Bold" w:hAnsi="Times New Roman Bold"/>
          <w:caps/>
          <w:u w:val="none"/>
        </w:rPr>
        <w:t xml:space="preserve"> (</w:t>
      </w:r>
      <w:r w:rsidR="00D00B04" w:rsidRPr="00D00B04">
        <w:rPr>
          <w:rFonts w:ascii="Times New Roman Bold" w:hAnsi="Times New Roman Bold"/>
          <w:u w:val="none"/>
        </w:rPr>
        <w:t>Facility ID.</w:t>
      </w:r>
      <w:r w:rsidR="00D00B04">
        <w:rPr>
          <w:rFonts w:ascii="Times New Roman Bold" w:hAnsi="Times New Roman Bold"/>
          <w:caps/>
          <w:u w:val="none"/>
        </w:rPr>
        <w:t xml:space="preserve"> 1010373)</w:t>
      </w:r>
      <w:r w:rsidRPr="00C074F5">
        <w:rPr>
          <w:rFonts w:ascii="Times New Roman Bold" w:hAnsi="Times New Roman Bold"/>
          <w:caps/>
          <w:u w:val="none"/>
        </w:rPr>
        <w:t>.</w:t>
      </w:r>
      <w:bookmarkEnd w:id="5"/>
    </w:p>
    <w:p w:rsidR="00193F10" w:rsidRPr="0005239E" w:rsidRDefault="00264AA9" w:rsidP="0005239E">
      <w:pPr>
        <w:pStyle w:val="ListParagraph"/>
        <w:widowControl w:val="0"/>
        <w:numPr>
          <w:ilvl w:val="1"/>
          <w:numId w:val="3"/>
        </w:numPr>
        <w:spacing w:after="120"/>
        <w:ind w:left="720" w:hanging="720"/>
        <w:contextualSpacing w:val="0"/>
        <w:rPr>
          <w:rFonts w:ascii="Times New Roman Bold" w:hAnsi="Times New Roman Bold"/>
          <w:b/>
          <w:caps/>
          <w:sz w:val="22"/>
          <w:szCs w:val="22"/>
        </w:rPr>
      </w:pPr>
      <w:r w:rsidRPr="0005239E">
        <w:rPr>
          <w:rFonts w:ascii="Times New Roman Bold" w:hAnsi="Times New Roman Bold"/>
          <w:b/>
          <w:bCs/>
          <w:sz w:val="22"/>
          <w:szCs w:val="22"/>
        </w:rPr>
        <w:t xml:space="preserve">Primary </w:t>
      </w:r>
      <w:r w:rsidR="00193F10" w:rsidRPr="0005239E">
        <w:rPr>
          <w:rFonts w:ascii="Times New Roman Bold" w:hAnsi="Times New Roman Bold"/>
          <w:b/>
          <w:bCs/>
          <w:sz w:val="22"/>
          <w:szCs w:val="22"/>
        </w:rPr>
        <w:t>Regulatory Categories</w:t>
      </w:r>
    </w:p>
    <w:p w:rsidR="00EF55C5" w:rsidRDefault="00EF55C5" w:rsidP="000E68D7">
      <w:pPr>
        <w:numPr>
          <w:ilvl w:val="0"/>
          <w:numId w:val="4"/>
        </w:numPr>
        <w:spacing w:after="120"/>
        <w:rPr>
          <w:sz w:val="22"/>
          <w:szCs w:val="22"/>
        </w:rPr>
      </w:pPr>
      <w:r>
        <w:rPr>
          <w:sz w:val="22"/>
          <w:szCs w:val="22"/>
        </w:rPr>
        <w:t>The facility is not a major source of hazardous air pollutants (HAP).</w:t>
      </w:r>
    </w:p>
    <w:p w:rsidR="00EF55C5" w:rsidRDefault="00EF55C5" w:rsidP="000E68D7">
      <w:pPr>
        <w:numPr>
          <w:ilvl w:val="0"/>
          <w:numId w:val="4"/>
        </w:numPr>
        <w:spacing w:after="120"/>
        <w:rPr>
          <w:sz w:val="22"/>
          <w:szCs w:val="22"/>
        </w:rPr>
      </w:pPr>
      <w:r>
        <w:rPr>
          <w:sz w:val="22"/>
          <w:szCs w:val="22"/>
        </w:rPr>
        <w:t>The facility operates units subject to the acid rain provisions of the Clean Air Act (CAA).</w:t>
      </w:r>
    </w:p>
    <w:p w:rsidR="00EF55C5" w:rsidRDefault="00EF55C5" w:rsidP="000E68D7">
      <w:pPr>
        <w:numPr>
          <w:ilvl w:val="0"/>
          <w:numId w:val="4"/>
        </w:numPr>
        <w:spacing w:after="120"/>
        <w:rPr>
          <w:sz w:val="22"/>
          <w:szCs w:val="22"/>
        </w:rPr>
      </w:pPr>
      <w:r>
        <w:rPr>
          <w:sz w:val="22"/>
          <w:szCs w:val="22"/>
        </w:rPr>
        <w:t xml:space="preserve">The facility is a Title V major source of air pollution in accordance with Chapter 62-213, </w:t>
      </w:r>
      <w:r w:rsidR="00046ABF">
        <w:rPr>
          <w:sz w:val="22"/>
          <w:szCs w:val="22"/>
        </w:rPr>
        <w:t>Florida Administrative Code (</w:t>
      </w:r>
      <w:r>
        <w:rPr>
          <w:sz w:val="22"/>
          <w:szCs w:val="22"/>
        </w:rPr>
        <w:t>F.A.C.</w:t>
      </w:r>
      <w:r w:rsidR="00046ABF">
        <w:rPr>
          <w:sz w:val="22"/>
          <w:szCs w:val="22"/>
        </w:rPr>
        <w:t>)</w:t>
      </w:r>
    </w:p>
    <w:p w:rsidR="00EF55C5" w:rsidRDefault="00046ABF" w:rsidP="000E68D7">
      <w:pPr>
        <w:numPr>
          <w:ilvl w:val="0"/>
          <w:numId w:val="4"/>
        </w:numPr>
        <w:spacing w:after="120"/>
        <w:rPr>
          <w:sz w:val="22"/>
          <w:szCs w:val="22"/>
        </w:rPr>
      </w:pPr>
      <w:r w:rsidRPr="00046ABF">
        <w:rPr>
          <w:sz w:val="22"/>
          <w:szCs w:val="22"/>
        </w:rPr>
        <w:t>The facility is a major stationary source in accordance with Rule 62-212.400, F.A.C. for the Prevention of Significant Deterioration (PSD) of Air Quality.</w:t>
      </w:r>
    </w:p>
    <w:p w:rsidR="00EF55C5" w:rsidRDefault="00EF55C5" w:rsidP="000E68D7">
      <w:pPr>
        <w:numPr>
          <w:ilvl w:val="0"/>
          <w:numId w:val="4"/>
        </w:numPr>
        <w:spacing w:after="120"/>
        <w:rPr>
          <w:sz w:val="22"/>
          <w:szCs w:val="22"/>
        </w:rPr>
      </w:pPr>
      <w:bookmarkStart w:id="7" w:name="_Hlk490469968"/>
      <w:r>
        <w:rPr>
          <w:sz w:val="22"/>
          <w:szCs w:val="22"/>
        </w:rPr>
        <w:t xml:space="preserve">The facility operates units subject </w:t>
      </w:r>
      <w:bookmarkEnd w:id="7"/>
      <w:r w:rsidR="00046ABF" w:rsidRPr="00046ABF">
        <w:rPr>
          <w:sz w:val="22"/>
          <w:szCs w:val="22"/>
        </w:rPr>
        <w:t xml:space="preserve">the New Source Performance Standards (NSPS) of Title 40 </w:t>
      </w:r>
      <w:r w:rsidR="00046ABF">
        <w:rPr>
          <w:sz w:val="22"/>
          <w:szCs w:val="22"/>
        </w:rPr>
        <w:t>Code of F</w:t>
      </w:r>
      <w:r w:rsidR="00046ABF" w:rsidRPr="00046ABF">
        <w:rPr>
          <w:sz w:val="22"/>
          <w:szCs w:val="22"/>
        </w:rPr>
        <w:t xml:space="preserve">ederal </w:t>
      </w:r>
      <w:r w:rsidR="00046ABF">
        <w:rPr>
          <w:sz w:val="22"/>
          <w:szCs w:val="22"/>
        </w:rPr>
        <w:t>R</w:t>
      </w:r>
      <w:r w:rsidR="00046ABF" w:rsidRPr="00046ABF">
        <w:rPr>
          <w:sz w:val="22"/>
          <w:szCs w:val="22"/>
        </w:rPr>
        <w:t>egulations (CFR) Part 60.</w:t>
      </w:r>
    </w:p>
    <w:p w:rsidR="0005239E" w:rsidRPr="0005239E" w:rsidRDefault="00046ABF" w:rsidP="005601DE">
      <w:pPr>
        <w:numPr>
          <w:ilvl w:val="0"/>
          <w:numId w:val="4"/>
        </w:numPr>
        <w:spacing w:after="120"/>
        <w:rPr>
          <w:sz w:val="22"/>
          <w:szCs w:val="22"/>
        </w:rPr>
      </w:pPr>
      <w:r>
        <w:rPr>
          <w:sz w:val="22"/>
          <w:szCs w:val="22"/>
        </w:rPr>
        <w:lastRenderedPageBreak/>
        <w:t xml:space="preserve">The facility operates units subject </w:t>
      </w:r>
      <w:r w:rsidRPr="00046ABF">
        <w:rPr>
          <w:sz w:val="22"/>
          <w:szCs w:val="22"/>
        </w:rPr>
        <w:t xml:space="preserve">the </w:t>
      </w:r>
      <w:r>
        <w:rPr>
          <w:sz w:val="22"/>
          <w:szCs w:val="22"/>
        </w:rPr>
        <w:t xml:space="preserve">National Emission Standards for Hazardous Air Pollutants (NESHAP) </w:t>
      </w:r>
      <w:r w:rsidRPr="00046ABF">
        <w:rPr>
          <w:sz w:val="22"/>
          <w:szCs w:val="22"/>
        </w:rPr>
        <w:t xml:space="preserve">40 CFR Part </w:t>
      </w:r>
      <w:r w:rsidR="00D95CA8">
        <w:rPr>
          <w:sz w:val="22"/>
          <w:szCs w:val="22"/>
        </w:rPr>
        <w:t>6</w:t>
      </w:r>
      <w:r>
        <w:rPr>
          <w:sz w:val="22"/>
          <w:szCs w:val="22"/>
        </w:rPr>
        <w:t>3</w:t>
      </w:r>
      <w:r w:rsidR="00EF55C5" w:rsidRPr="0005239E">
        <w:rPr>
          <w:sz w:val="22"/>
          <w:szCs w:val="22"/>
        </w:rPr>
        <w:t>.</w:t>
      </w:r>
    </w:p>
    <w:p w:rsidR="00193F10" w:rsidRPr="0005239E" w:rsidRDefault="00193F10" w:rsidP="0005239E">
      <w:pPr>
        <w:pStyle w:val="ListParagraph"/>
        <w:widowControl w:val="0"/>
        <w:numPr>
          <w:ilvl w:val="1"/>
          <w:numId w:val="3"/>
        </w:numPr>
        <w:spacing w:after="120"/>
        <w:ind w:left="720" w:hanging="720"/>
        <w:contextualSpacing w:val="0"/>
        <w:rPr>
          <w:rFonts w:ascii="Times New Roman Bold" w:hAnsi="Times New Roman Bold"/>
          <w:b/>
          <w:bCs/>
          <w:sz w:val="22"/>
          <w:szCs w:val="22"/>
        </w:rPr>
      </w:pPr>
      <w:r w:rsidRPr="0005239E">
        <w:rPr>
          <w:rFonts w:ascii="Times New Roman Bold" w:hAnsi="Times New Roman Bold"/>
          <w:b/>
          <w:bCs/>
          <w:sz w:val="22"/>
          <w:szCs w:val="22"/>
        </w:rPr>
        <w:t>Project Description</w:t>
      </w:r>
    </w:p>
    <w:p w:rsidR="00761577" w:rsidRDefault="00F353E4" w:rsidP="00A332C7">
      <w:pPr>
        <w:pStyle w:val="BodyText2"/>
        <w:widowControl w:val="0"/>
        <w:jc w:val="left"/>
      </w:pPr>
      <w:r w:rsidRPr="00F353E4">
        <w:t>Shady Hi</w:t>
      </w:r>
      <w:r>
        <w:t xml:space="preserve">lls Energy Center, LLC (SHEC) </w:t>
      </w:r>
      <w:r w:rsidR="00DA0489" w:rsidRPr="00DA0489">
        <w:t>submitted an application</w:t>
      </w:r>
      <w:r w:rsidR="00115A27">
        <w:rPr>
          <w:rStyle w:val="FootnoteReference"/>
        </w:rPr>
        <w:footnoteReference w:id="1"/>
      </w:r>
      <w:r w:rsidR="00DA0489" w:rsidRPr="00DA0489">
        <w:t xml:space="preserve"> </w:t>
      </w:r>
      <w:r w:rsidR="00761577">
        <w:t xml:space="preserve">for an air construction permit subject to the preconstruction review requirements of the PSD of </w:t>
      </w:r>
      <w:r w:rsidR="00761577" w:rsidRPr="00143546">
        <w:t xml:space="preserve">Air Quality pursuant to Rule 62-212.400, F.A.C.  </w:t>
      </w:r>
      <w:r w:rsidR="00143546" w:rsidRPr="00143546">
        <w:t xml:space="preserve">The purpose of this project is to construct a </w:t>
      </w:r>
      <w:r w:rsidR="00665B70">
        <w:t xml:space="preserve">new </w:t>
      </w:r>
      <w:r w:rsidR="003F57E4">
        <w:t xml:space="preserve">1-on-1 </w:t>
      </w:r>
      <w:r w:rsidR="003765F9" w:rsidRPr="003765F9">
        <w:t>combined cycle plant</w:t>
      </w:r>
      <w:r w:rsidR="003B4304">
        <w:t xml:space="preserve">, which will be known as the </w:t>
      </w:r>
      <w:r w:rsidR="003B4304" w:rsidRPr="003B4304">
        <w:t>Shady Hills Combined Cycle Facility</w:t>
      </w:r>
      <w:r w:rsidR="003B4304">
        <w:t xml:space="preserve"> (SHCCF)</w:t>
      </w:r>
      <w:r w:rsidR="003F57E4">
        <w:t>.</w:t>
      </w:r>
      <w:r w:rsidR="005313C6" w:rsidRPr="005313C6">
        <w:t xml:space="preserve"> </w:t>
      </w:r>
      <w:r w:rsidR="002105AC">
        <w:t xml:space="preserve"> </w:t>
      </w:r>
      <w:r w:rsidR="005313C6">
        <w:t xml:space="preserve">The new </w:t>
      </w:r>
      <w:r w:rsidR="004815EB">
        <w:t>combined cycle combustion turbine</w:t>
      </w:r>
      <w:r w:rsidR="005313C6">
        <w:t xml:space="preserve"> and associated equipment will be constructed on a 14-acre parcel east of the existing SHGS power island</w:t>
      </w:r>
      <w:r w:rsidR="009A5435">
        <w:t>, as outlined in</w:t>
      </w:r>
      <w:r w:rsidR="00D752D3">
        <w:t xml:space="preserve"> red </w:t>
      </w:r>
      <w:r w:rsidR="00046ABF">
        <w:t>in</w:t>
      </w:r>
      <w:r w:rsidR="009A5435">
        <w:t xml:space="preserve"> </w:t>
      </w:r>
      <w:r w:rsidR="009A5435" w:rsidRPr="009A5435">
        <w:fldChar w:fldCharType="begin"/>
      </w:r>
      <w:r w:rsidR="009A5435" w:rsidRPr="009A5435">
        <w:instrText xml:space="preserve"> REF _Ref507681996 \h </w:instrText>
      </w:r>
      <w:r w:rsidR="009A5435">
        <w:instrText xml:space="preserve"> \* MERGEFORMAT </w:instrText>
      </w:r>
      <w:r w:rsidR="009A5435" w:rsidRPr="009A5435">
        <w:fldChar w:fldCharType="separate"/>
      </w:r>
      <w:r w:rsidR="003E3FA4" w:rsidRPr="003E3FA4">
        <w:rPr>
          <w:rFonts w:ascii="Times New Roman Bold" w:hAnsi="Times New Roman Bold"/>
        </w:rPr>
        <w:t xml:space="preserve">Figure </w:t>
      </w:r>
      <w:r w:rsidR="003E3FA4" w:rsidRPr="003E3FA4">
        <w:rPr>
          <w:rFonts w:ascii="Times New Roman Bold" w:hAnsi="Times New Roman Bold"/>
          <w:noProof/>
        </w:rPr>
        <w:t>3</w:t>
      </w:r>
      <w:r w:rsidR="009A5435" w:rsidRPr="009A5435">
        <w:fldChar w:fldCharType="end"/>
      </w:r>
      <w:r w:rsidR="00046ABF">
        <w:t xml:space="preserve"> below</w:t>
      </w:r>
      <w:r w:rsidR="005313C6">
        <w:t>.</w:t>
      </w:r>
    </w:p>
    <w:p w:rsidR="0088637A" w:rsidRDefault="000C6C3F" w:rsidP="0005239E">
      <w:pPr>
        <w:pStyle w:val="BodyText2"/>
        <w:widowControl w:val="0"/>
        <w:jc w:val="center"/>
      </w:pPr>
      <w:r>
        <w:rPr>
          <w:noProof/>
        </w:rPr>
        <w:drawing>
          <wp:inline distT="0" distB="0" distL="0" distR="0" wp14:anchorId="54580FEC" wp14:editId="14EA2E55">
            <wp:extent cx="4181475" cy="3962400"/>
            <wp:effectExtent l="19050" t="19050" r="28575" b="190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4243213" cy="4020903"/>
                    </a:xfrm>
                    <a:prstGeom prst="rect">
                      <a:avLst/>
                    </a:prstGeom>
                    <a:noFill/>
                    <a:ln w="12700">
                      <a:solidFill>
                        <a:schemeClr val="tx1"/>
                      </a:solidFill>
                    </a:ln>
                  </pic:spPr>
                </pic:pic>
              </a:graphicData>
            </a:graphic>
          </wp:inline>
        </w:drawing>
      </w:r>
    </w:p>
    <w:p w:rsidR="000C6C3F" w:rsidRPr="0088637A" w:rsidRDefault="0088637A" w:rsidP="0049695E">
      <w:pPr>
        <w:pStyle w:val="Caption"/>
        <w:spacing w:before="120"/>
        <w:jc w:val="center"/>
        <w:rPr>
          <w:rFonts w:ascii="Times New Roman Bold" w:hAnsi="Times New Roman Bold"/>
          <w:caps w:val="0"/>
        </w:rPr>
      </w:pPr>
      <w:bookmarkStart w:id="8" w:name="_Ref507681996"/>
      <w:r w:rsidRPr="0088637A">
        <w:rPr>
          <w:rFonts w:ascii="Times New Roman Bold" w:hAnsi="Times New Roman Bold"/>
          <w:caps w:val="0"/>
        </w:rPr>
        <w:t xml:space="preserve">Figure </w:t>
      </w:r>
      <w:r w:rsidR="00845550">
        <w:rPr>
          <w:rFonts w:ascii="Times New Roman Bold" w:hAnsi="Times New Roman Bold"/>
          <w:caps w:val="0"/>
        </w:rPr>
        <w:fldChar w:fldCharType="begin"/>
      </w:r>
      <w:r w:rsidR="00845550">
        <w:rPr>
          <w:rFonts w:ascii="Times New Roman Bold" w:hAnsi="Times New Roman Bold"/>
          <w:caps w:val="0"/>
        </w:rPr>
        <w:instrText xml:space="preserve"> SEQ Figure \* ARABIC </w:instrText>
      </w:r>
      <w:r w:rsidR="00845550">
        <w:rPr>
          <w:rFonts w:ascii="Times New Roman Bold" w:hAnsi="Times New Roman Bold"/>
          <w:caps w:val="0"/>
        </w:rPr>
        <w:fldChar w:fldCharType="separate"/>
      </w:r>
      <w:r w:rsidR="003E3FA4">
        <w:rPr>
          <w:rFonts w:ascii="Times New Roman Bold" w:hAnsi="Times New Roman Bold"/>
          <w:caps w:val="0"/>
          <w:noProof/>
        </w:rPr>
        <w:t>3</w:t>
      </w:r>
      <w:r w:rsidR="00845550">
        <w:rPr>
          <w:rFonts w:ascii="Times New Roman Bold" w:hAnsi="Times New Roman Bold"/>
          <w:caps w:val="0"/>
        </w:rPr>
        <w:fldChar w:fldCharType="end"/>
      </w:r>
      <w:bookmarkEnd w:id="8"/>
      <w:r>
        <w:rPr>
          <w:rFonts w:ascii="Times New Roman Bold" w:hAnsi="Times New Roman Bold"/>
          <w:caps w:val="0"/>
        </w:rPr>
        <w:t xml:space="preserve">.  </w:t>
      </w:r>
      <w:r w:rsidR="00A84ED6">
        <w:rPr>
          <w:rFonts w:ascii="Times New Roman Bold" w:hAnsi="Times New Roman Bold"/>
          <w:caps w:val="0"/>
        </w:rPr>
        <w:t>Aerial View of the Certified Site Boundary for the Shady Hills Combined Cycle Facility.</w:t>
      </w:r>
    </w:p>
    <w:p w:rsidR="00761577" w:rsidRDefault="00761577" w:rsidP="00955818">
      <w:pPr>
        <w:pStyle w:val="BodyText2"/>
        <w:widowControl w:val="0"/>
        <w:numPr>
          <w:ilvl w:val="0"/>
          <w:numId w:val="0"/>
        </w:numPr>
        <w:spacing w:before="120"/>
        <w:jc w:val="left"/>
        <w:rPr>
          <w:szCs w:val="22"/>
        </w:rPr>
      </w:pPr>
      <w:r>
        <w:t>T</w:t>
      </w:r>
      <w:r>
        <w:rPr>
          <w:szCs w:val="22"/>
        </w:rPr>
        <w:t>he following new emissions units</w:t>
      </w:r>
      <w:r w:rsidR="0005239E">
        <w:rPr>
          <w:szCs w:val="22"/>
        </w:rPr>
        <w:t xml:space="preserve"> (see </w:t>
      </w:r>
      <w:r w:rsidR="0005239E" w:rsidRPr="0005239E">
        <w:rPr>
          <w:rFonts w:ascii="Times New Roman Bold" w:hAnsi="Times New Roman Bold"/>
          <w:b/>
          <w:szCs w:val="22"/>
        </w:rPr>
        <w:fldChar w:fldCharType="begin"/>
      </w:r>
      <w:r w:rsidR="0005239E" w:rsidRPr="0005239E">
        <w:rPr>
          <w:rFonts w:ascii="Times New Roman Bold" w:hAnsi="Times New Roman Bold"/>
          <w:b/>
          <w:szCs w:val="22"/>
        </w:rPr>
        <w:instrText xml:space="preserve"> REF _Ref513616320 \h </w:instrText>
      </w:r>
      <w:r w:rsidR="0005239E">
        <w:rPr>
          <w:rFonts w:ascii="Times New Roman Bold" w:hAnsi="Times New Roman Bold"/>
          <w:b/>
          <w:szCs w:val="22"/>
        </w:rPr>
        <w:instrText xml:space="preserve"> \* MERGEFORMAT </w:instrText>
      </w:r>
      <w:r w:rsidR="0005239E" w:rsidRPr="0005239E">
        <w:rPr>
          <w:rFonts w:ascii="Times New Roman Bold" w:hAnsi="Times New Roman Bold"/>
          <w:b/>
          <w:szCs w:val="22"/>
        </w:rPr>
      </w:r>
      <w:r w:rsidR="0005239E" w:rsidRPr="0005239E">
        <w:rPr>
          <w:rFonts w:ascii="Times New Roman Bold" w:hAnsi="Times New Roman Bold"/>
          <w:b/>
          <w:szCs w:val="22"/>
        </w:rPr>
        <w:fldChar w:fldCharType="separate"/>
      </w:r>
      <w:r w:rsidR="003E3FA4" w:rsidRPr="003E3FA4">
        <w:rPr>
          <w:rFonts w:ascii="Times New Roman Bold" w:hAnsi="Times New Roman Bold"/>
          <w:b/>
        </w:rPr>
        <w:t xml:space="preserve">Table </w:t>
      </w:r>
      <w:r w:rsidR="003E3FA4" w:rsidRPr="003E3FA4">
        <w:rPr>
          <w:rFonts w:ascii="Times New Roman Bold" w:hAnsi="Times New Roman Bold"/>
          <w:b/>
          <w:noProof/>
        </w:rPr>
        <w:t>1</w:t>
      </w:r>
      <w:r w:rsidR="0005239E" w:rsidRPr="0005239E">
        <w:rPr>
          <w:rFonts w:ascii="Times New Roman Bold" w:hAnsi="Times New Roman Bold"/>
          <w:b/>
          <w:szCs w:val="22"/>
        </w:rPr>
        <w:fldChar w:fldCharType="end"/>
      </w:r>
      <w:r w:rsidR="0005239E">
        <w:rPr>
          <w:szCs w:val="22"/>
        </w:rPr>
        <w:t>)</w:t>
      </w:r>
      <w:r>
        <w:rPr>
          <w:szCs w:val="22"/>
        </w:rPr>
        <w:t xml:space="preserve"> will be added by this project.</w:t>
      </w:r>
    </w:p>
    <w:p w:rsidR="00B71241" w:rsidRDefault="0005239E" w:rsidP="0005239E">
      <w:pPr>
        <w:pStyle w:val="Caption"/>
        <w:spacing w:before="0"/>
        <w:jc w:val="center"/>
      </w:pPr>
      <w:bookmarkStart w:id="9" w:name="_Ref513616320"/>
      <w:r>
        <w:t xml:space="preserve">Table </w:t>
      </w:r>
      <w:fldSimple w:instr=" SEQ Table \* ARABIC ">
        <w:r w:rsidR="007204D0">
          <w:rPr>
            <w:noProof/>
          </w:rPr>
          <w:t>1</w:t>
        </w:r>
      </w:fldSimple>
      <w:bookmarkEnd w:id="9"/>
      <w:r>
        <w:t xml:space="preserve"> - </w:t>
      </w:r>
      <w:r w:rsidR="00B71241" w:rsidRPr="00B71241">
        <w:t>NEW EMISSIONS UNITS ADDED BY THIS PROJECT.</w:t>
      </w:r>
    </w:p>
    <w:tbl>
      <w:tblPr>
        <w:tblW w:w="0" w:type="auto"/>
        <w:tblInd w:w="1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top w:w="43" w:type="dxa"/>
          <w:left w:w="72" w:type="dxa"/>
          <w:bottom w:w="43" w:type="dxa"/>
          <w:right w:w="72" w:type="dxa"/>
        </w:tblCellMar>
        <w:tblLook w:val="01E0" w:firstRow="1" w:lastRow="1" w:firstColumn="1" w:lastColumn="1" w:noHBand="0" w:noVBand="0"/>
      </w:tblPr>
      <w:tblGrid>
        <w:gridCol w:w="1025"/>
        <w:gridCol w:w="8766"/>
      </w:tblGrid>
      <w:tr w:rsidR="00E90AE3" w:rsidRPr="000616EB" w:rsidTr="00621A27">
        <w:trPr>
          <w:tblHeader/>
        </w:trPr>
        <w:tc>
          <w:tcPr>
            <w:tcW w:w="1037" w:type="dxa"/>
            <w:tcBorders>
              <w:bottom w:val="single" w:sz="12" w:space="0" w:color="auto"/>
            </w:tcBorders>
            <w:shd w:val="clear" w:color="auto" w:fill="B8CCE4" w:themeFill="accent1" w:themeFillTint="66"/>
          </w:tcPr>
          <w:p w:rsidR="00E90AE3" w:rsidRPr="00E90AE3" w:rsidRDefault="00BE69A9" w:rsidP="00892FF3">
            <w:pPr>
              <w:pStyle w:val="BodyText2"/>
              <w:widowControl w:val="0"/>
              <w:numPr>
                <w:ilvl w:val="0"/>
                <w:numId w:val="0"/>
              </w:numPr>
              <w:spacing w:after="0"/>
              <w:jc w:val="center"/>
              <w:rPr>
                <w:b/>
                <w:sz w:val="20"/>
              </w:rPr>
            </w:pPr>
            <w:r>
              <w:rPr>
                <w:b/>
                <w:sz w:val="20"/>
              </w:rPr>
              <w:t>EU</w:t>
            </w:r>
            <w:r w:rsidR="00E90AE3" w:rsidRPr="00E90AE3">
              <w:rPr>
                <w:b/>
                <w:sz w:val="20"/>
              </w:rPr>
              <w:t xml:space="preserve"> No.</w:t>
            </w:r>
          </w:p>
        </w:tc>
        <w:tc>
          <w:tcPr>
            <w:tcW w:w="8928" w:type="dxa"/>
            <w:tcBorders>
              <w:bottom w:val="single" w:sz="12" w:space="0" w:color="auto"/>
            </w:tcBorders>
            <w:shd w:val="clear" w:color="auto" w:fill="B8CCE4" w:themeFill="accent1" w:themeFillTint="66"/>
          </w:tcPr>
          <w:p w:rsidR="00E90AE3" w:rsidRPr="00E90AE3" w:rsidRDefault="00C47FD4" w:rsidP="00892FF3">
            <w:pPr>
              <w:pStyle w:val="BodyText2"/>
              <w:widowControl w:val="0"/>
              <w:numPr>
                <w:ilvl w:val="0"/>
                <w:numId w:val="0"/>
              </w:numPr>
              <w:spacing w:after="0"/>
              <w:jc w:val="left"/>
              <w:rPr>
                <w:b/>
                <w:sz w:val="20"/>
              </w:rPr>
            </w:pPr>
            <w:r w:rsidRPr="00C47FD4">
              <w:rPr>
                <w:b/>
                <w:sz w:val="20"/>
              </w:rPr>
              <w:t>SHCCF Emission Unit Description</w:t>
            </w:r>
            <w:r>
              <w:rPr>
                <w:b/>
                <w:sz w:val="20"/>
              </w:rPr>
              <w:t>s</w:t>
            </w:r>
          </w:p>
        </w:tc>
      </w:tr>
      <w:tr w:rsidR="00E90AE3" w:rsidRPr="000616EB" w:rsidTr="00877E2D">
        <w:trPr>
          <w:trHeight w:val="144"/>
        </w:trPr>
        <w:tc>
          <w:tcPr>
            <w:tcW w:w="1037" w:type="dxa"/>
            <w:tcBorders>
              <w:bottom w:val="single" w:sz="8" w:space="0" w:color="auto"/>
            </w:tcBorders>
          </w:tcPr>
          <w:p w:rsidR="00E90AE3" w:rsidRPr="00AE5CF7" w:rsidRDefault="00DF3719" w:rsidP="00892FF3">
            <w:pPr>
              <w:pStyle w:val="BodyText2"/>
              <w:widowControl w:val="0"/>
              <w:numPr>
                <w:ilvl w:val="0"/>
                <w:numId w:val="0"/>
              </w:numPr>
              <w:spacing w:after="0"/>
              <w:jc w:val="center"/>
              <w:rPr>
                <w:sz w:val="20"/>
              </w:rPr>
            </w:pPr>
            <w:r>
              <w:rPr>
                <w:sz w:val="20"/>
              </w:rPr>
              <w:t>001</w:t>
            </w:r>
          </w:p>
        </w:tc>
        <w:tc>
          <w:tcPr>
            <w:tcW w:w="8928" w:type="dxa"/>
            <w:tcBorders>
              <w:bottom w:val="single" w:sz="8" w:space="0" w:color="auto"/>
            </w:tcBorders>
          </w:tcPr>
          <w:p w:rsidR="00E90AE3" w:rsidRPr="00AE5CF7" w:rsidRDefault="004555A4" w:rsidP="00892FF3">
            <w:pPr>
              <w:pStyle w:val="BodyText2"/>
              <w:widowControl w:val="0"/>
              <w:numPr>
                <w:ilvl w:val="0"/>
                <w:numId w:val="0"/>
              </w:numPr>
              <w:spacing w:after="0"/>
              <w:jc w:val="left"/>
              <w:rPr>
                <w:sz w:val="20"/>
              </w:rPr>
            </w:pPr>
            <w:r w:rsidRPr="004555A4">
              <w:rPr>
                <w:sz w:val="20"/>
              </w:rPr>
              <w:t>GE 7HA.02 Combustion Turbine and HRSG with duct firing</w:t>
            </w:r>
          </w:p>
        </w:tc>
      </w:tr>
      <w:tr w:rsidR="00E90AE3" w:rsidRPr="000616EB" w:rsidTr="00877E2D">
        <w:trPr>
          <w:trHeight w:val="144"/>
        </w:trPr>
        <w:tc>
          <w:tcPr>
            <w:tcW w:w="1037" w:type="dxa"/>
            <w:tcBorders>
              <w:top w:val="single" w:sz="8" w:space="0" w:color="auto"/>
              <w:bottom w:val="single" w:sz="8" w:space="0" w:color="auto"/>
            </w:tcBorders>
          </w:tcPr>
          <w:p w:rsidR="00E90AE3" w:rsidRPr="00AE5CF7" w:rsidRDefault="003C416C" w:rsidP="00892FF3">
            <w:pPr>
              <w:pStyle w:val="BodyText2"/>
              <w:widowControl w:val="0"/>
              <w:numPr>
                <w:ilvl w:val="0"/>
                <w:numId w:val="0"/>
              </w:numPr>
              <w:spacing w:after="0"/>
              <w:jc w:val="center"/>
              <w:rPr>
                <w:sz w:val="20"/>
              </w:rPr>
            </w:pPr>
            <w:r>
              <w:rPr>
                <w:sz w:val="20"/>
              </w:rPr>
              <w:t>002</w:t>
            </w:r>
          </w:p>
        </w:tc>
        <w:tc>
          <w:tcPr>
            <w:tcW w:w="8928" w:type="dxa"/>
            <w:tcBorders>
              <w:top w:val="single" w:sz="8" w:space="0" w:color="auto"/>
              <w:bottom w:val="single" w:sz="8" w:space="0" w:color="auto"/>
            </w:tcBorders>
          </w:tcPr>
          <w:p w:rsidR="00E90AE3" w:rsidRPr="00AE5CF7" w:rsidRDefault="0061320D" w:rsidP="00892FF3">
            <w:pPr>
              <w:pStyle w:val="BodyText2"/>
              <w:widowControl w:val="0"/>
              <w:numPr>
                <w:ilvl w:val="0"/>
                <w:numId w:val="0"/>
              </w:numPr>
              <w:spacing w:after="0"/>
              <w:jc w:val="left"/>
              <w:rPr>
                <w:sz w:val="20"/>
              </w:rPr>
            </w:pPr>
            <w:r>
              <w:rPr>
                <w:sz w:val="20"/>
              </w:rPr>
              <w:t>Auxiliary B</w:t>
            </w:r>
            <w:r w:rsidR="000563E8" w:rsidRPr="000563E8">
              <w:rPr>
                <w:sz w:val="20"/>
              </w:rPr>
              <w:t>oiler</w:t>
            </w:r>
          </w:p>
        </w:tc>
      </w:tr>
      <w:tr w:rsidR="00E90AE3" w:rsidRPr="000616EB" w:rsidTr="00877E2D">
        <w:trPr>
          <w:trHeight w:val="144"/>
        </w:trPr>
        <w:tc>
          <w:tcPr>
            <w:tcW w:w="1037" w:type="dxa"/>
            <w:tcBorders>
              <w:top w:val="single" w:sz="8" w:space="0" w:color="auto"/>
              <w:bottom w:val="single" w:sz="8" w:space="0" w:color="auto"/>
            </w:tcBorders>
          </w:tcPr>
          <w:p w:rsidR="00E90AE3" w:rsidRPr="00AE5CF7" w:rsidRDefault="003C416C" w:rsidP="00892FF3">
            <w:pPr>
              <w:pStyle w:val="BodyText2"/>
              <w:widowControl w:val="0"/>
              <w:numPr>
                <w:ilvl w:val="0"/>
                <w:numId w:val="0"/>
              </w:numPr>
              <w:spacing w:after="0"/>
              <w:jc w:val="center"/>
              <w:rPr>
                <w:sz w:val="20"/>
              </w:rPr>
            </w:pPr>
            <w:r>
              <w:rPr>
                <w:sz w:val="20"/>
              </w:rPr>
              <w:t>003</w:t>
            </w:r>
          </w:p>
        </w:tc>
        <w:tc>
          <w:tcPr>
            <w:tcW w:w="8928" w:type="dxa"/>
            <w:tcBorders>
              <w:top w:val="single" w:sz="8" w:space="0" w:color="auto"/>
              <w:bottom w:val="single" w:sz="8" w:space="0" w:color="auto"/>
            </w:tcBorders>
          </w:tcPr>
          <w:p w:rsidR="00E90AE3" w:rsidRPr="00AE5CF7" w:rsidRDefault="00701CA9" w:rsidP="00892FF3">
            <w:pPr>
              <w:pStyle w:val="BodyText2"/>
              <w:widowControl w:val="0"/>
              <w:numPr>
                <w:ilvl w:val="0"/>
                <w:numId w:val="0"/>
              </w:numPr>
              <w:spacing w:after="0"/>
              <w:jc w:val="left"/>
              <w:rPr>
                <w:sz w:val="20"/>
              </w:rPr>
            </w:pPr>
            <w:r w:rsidRPr="00701CA9">
              <w:rPr>
                <w:sz w:val="20"/>
              </w:rPr>
              <w:t>One Nominal 1,500 kW Emergency Diesel Generator</w:t>
            </w:r>
          </w:p>
        </w:tc>
      </w:tr>
      <w:tr w:rsidR="000563E8" w:rsidRPr="000616EB" w:rsidTr="00877E2D">
        <w:trPr>
          <w:trHeight w:val="144"/>
        </w:trPr>
        <w:tc>
          <w:tcPr>
            <w:tcW w:w="1037" w:type="dxa"/>
            <w:tcBorders>
              <w:top w:val="single" w:sz="8" w:space="0" w:color="auto"/>
              <w:bottom w:val="single" w:sz="8" w:space="0" w:color="auto"/>
            </w:tcBorders>
          </w:tcPr>
          <w:p w:rsidR="000563E8" w:rsidRPr="00AE5CF7" w:rsidRDefault="0061320D" w:rsidP="00892FF3">
            <w:pPr>
              <w:pStyle w:val="BodyText2"/>
              <w:widowControl w:val="0"/>
              <w:numPr>
                <w:ilvl w:val="0"/>
                <w:numId w:val="0"/>
              </w:numPr>
              <w:spacing w:after="0"/>
              <w:jc w:val="center"/>
              <w:rPr>
                <w:sz w:val="20"/>
              </w:rPr>
            </w:pPr>
            <w:r>
              <w:rPr>
                <w:sz w:val="20"/>
              </w:rPr>
              <w:t>0</w:t>
            </w:r>
            <w:r w:rsidR="003C416C">
              <w:rPr>
                <w:sz w:val="20"/>
              </w:rPr>
              <w:t>04</w:t>
            </w:r>
          </w:p>
        </w:tc>
        <w:tc>
          <w:tcPr>
            <w:tcW w:w="8928" w:type="dxa"/>
            <w:tcBorders>
              <w:top w:val="single" w:sz="8" w:space="0" w:color="auto"/>
              <w:bottom w:val="single" w:sz="8" w:space="0" w:color="auto"/>
            </w:tcBorders>
          </w:tcPr>
          <w:p w:rsidR="000563E8" w:rsidRPr="00AE5CF7" w:rsidRDefault="009814E2" w:rsidP="00892FF3">
            <w:pPr>
              <w:pStyle w:val="BodyText2"/>
              <w:widowControl w:val="0"/>
              <w:numPr>
                <w:ilvl w:val="0"/>
                <w:numId w:val="0"/>
              </w:numPr>
              <w:spacing w:after="0"/>
              <w:jc w:val="left"/>
              <w:rPr>
                <w:sz w:val="20"/>
              </w:rPr>
            </w:pPr>
            <w:r w:rsidRPr="009814E2">
              <w:rPr>
                <w:sz w:val="20"/>
              </w:rPr>
              <w:t>One Nominal 347-hp Emergency Fire Pump Engine</w:t>
            </w:r>
          </w:p>
        </w:tc>
      </w:tr>
      <w:tr w:rsidR="000563E8" w:rsidRPr="000616EB" w:rsidTr="00877E2D">
        <w:trPr>
          <w:trHeight w:val="144"/>
        </w:trPr>
        <w:tc>
          <w:tcPr>
            <w:tcW w:w="1037" w:type="dxa"/>
            <w:tcBorders>
              <w:top w:val="single" w:sz="8" w:space="0" w:color="auto"/>
              <w:bottom w:val="single" w:sz="8" w:space="0" w:color="auto"/>
            </w:tcBorders>
          </w:tcPr>
          <w:p w:rsidR="000563E8" w:rsidRPr="00AE5CF7" w:rsidRDefault="00E86E4C" w:rsidP="00892FF3">
            <w:pPr>
              <w:pStyle w:val="BodyText2"/>
              <w:widowControl w:val="0"/>
              <w:numPr>
                <w:ilvl w:val="0"/>
                <w:numId w:val="0"/>
              </w:numPr>
              <w:spacing w:after="0"/>
              <w:jc w:val="center"/>
              <w:rPr>
                <w:sz w:val="20"/>
              </w:rPr>
            </w:pPr>
            <w:r>
              <w:rPr>
                <w:sz w:val="20"/>
              </w:rPr>
              <w:t>005</w:t>
            </w:r>
          </w:p>
        </w:tc>
        <w:tc>
          <w:tcPr>
            <w:tcW w:w="8928" w:type="dxa"/>
            <w:tcBorders>
              <w:top w:val="single" w:sz="8" w:space="0" w:color="auto"/>
              <w:bottom w:val="single" w:sz="8" w:space="0" w:color="auto"/>
            </w:tcBorders>
          </w:tcPr>
          <w:p w:rsidR="000563E8" w:rsidRPr="000563E8" w:rsidRDefault="000563E8" w:rsidP="00892FF3">
            <w:pPr>
              <w:pStyle w:val="BodyText2"/>
              <w:widowControl w:val="0"/>
              <w:numPr>
                <w:ilvl w:val="0"/>
                <w:numId w:val="0"/>
              </w:numPr>
              <w:spacing w:after="0"/>
              <w:jc w:val="left"/>
              <w:rPr>
                <w:sz w:val="20"/>
              </w:rPr>
            </w:pPr>
            <w:r w:rsidRPr="000563E8">
              <w:rPr>
                <w:sz w:val="20"/>
              </w:rPr>
              <w:t xml:space="preserve">Mechanical </w:t>
            </w:r>
            <w:r w:rsidR="0061320D">
              <w:rPr>
                <w:sz w:val="20"/>
              </w:rPr>
              <w:t>Draft C</w:t>
            </w:r>
            <w:r w:rsidRPr="000563E8">
              <w:rPr>
                <w:sz w:val="20"/>
              </w:rPr>
              <w:t xml:space="preserve">ooling </w:t>
            </w:r>
            <w:r w:rsidR="0061320D">
              <w:rPr>
                <w:sz w:val="20"/>
              </w:rPr>
              <w:t>T</w:t>
            </w:r>
            <w:r w:rsidRPr="000563E8">
              <w:rPr>
                <w:sz w:val="20"/>
              </w:rPr>
              <w:t>ower</w:t>
            </w:r>
          </w:p>
        </w:tc>
      </w:tr>
      <w:tr w:rsidR="000563E8" w:rsidRPr="000616EB" w:rsidTr="00701CA9">
        <w:trPr>
          <w:trHeight w:val="117"/>
        </w:trPr>
        <w:tc>
          <w:tcPr>
            <w:tcW w:w="1037" w:type="dxa"/>
            <w:tcBorders>
              <w:top w:val="single" w:sz="8" w:space="0" w:color="auto"/>
              <w:bottom w:val="single" w:sz="12" w:space="0" w:color="auto"/>
            </w:tcBorders>
          </w:tcPr>
          <w:p w:rsidR="000563E8" w:rsidRPr="00AE5CF7" w:rsidRDefault="00235BBC" w:rsidP="00892FF3">
            <w:pPr>
              <w:pStyle w:val="BodyText2"/>
              <w:widowControl w:val="0"/>
              <w:numPr>
                <w:ilvl w:val="0"/>
                <w:numId w:val="0"/>
              </w:numPr>
              <w:spacing w:after="0"/>
              <w:jc w:val="center"/>
              <w:rPr>
                <w:sz w:val="20"/>
              </w:rPr>
            </w:pPr>
            <w:r>
              <w:rPr>
                <w:sz w:val="20"/>
              </w:rPr>
              <w:t>006</w:t>
            </w:r>
          </w:p>
        </w:tc>
        <w:tc>
          <w:tcPr>
            <w:tcW w:w="8928" w:type="dxa"/>
            <w:tcBorders>
              <w:top w:val="single" w:sz="8" w:space="0" w:color="auto"/>
              <w:bottom w:val="single" w:sz="12" w:space="0" w:color="auto"/>
            </w:tcBorders>
          </w:tcPr>
          <w:p w:rsidR="000563E8" w:rsidRPr="000563E8" w:rsidRDefault="000563E8" w:rsidP="000563E8">
            <w:pPr>
              <w:pStyle w:val="BodyText2"/>
              <w:widowControl w:val="0"/>
              <w:numPr>
                <w:ilvl w:val="0"/>
                <w:numId w:val="0"/>
              </w:numPr>
              <w:tabs>
                <w:tab w:val="left" w:pos="630"/>
              </w:tabs>
              <w:spacing w:after="0"/>
              <w:jc w:val="left"/>
              <w:rPr>
                <w:sz w:val="20"/>
              </w:rPr>
            </w:pPr>
            <w:r>
              <w:rPr>
                <w:sz w:val="20"/>
              </w:rPr>
              <w:t xml:space="preserve">Two </w:t>
            </w:r>
            <w:r w:rsidRPr="000563E8">
              <w:rPr>
                <w:sz w:val="20"/>
              </w:rPr>
              <w:t xml:space="preserve">Circuit </w:t>
            </w:r>
            <w:r w:rsidR="0061320D">
              <w:rPr>
                <w:sz w:val="20"/>
              </w:rPr>
              <w:t>B</w:t>
            </w:r>
            <w:r w:rsidRPr="000563E8">
              <w:rPr>
                <w:sz w:val="20"/>
              </w:rPr>
              <w:t>reakers</w:t>
            </w:r>
          </w:p>
        </w:tc>
      </w:tr>
    </w:tbl>
    <w:p w:rsidR="00D042BC" w:rsidRPr="00D042BC" w:rsidRDefault="003C1AA4" w:rsidP="00FD0E4F">
      <w:pPr>
        <w:pStyle w:val="BodyText2"/>
        <w:widowControl w:val="0"/>
        <w:spacing w:before="120"/>
        <w:jc w:val="left"/>
      </w:pPr>
      <w:r w:rsidRPr="00D042BC">
        <w:lastRenderedPageBreak/>
        <w:t>The generating capacity of a combined cycle plant is affected by ambient temperature</w:t>
      </w:r>
      <w:r w:rsidR="006F1A79">
        <w:t>s</w:t>
      </w:r>
      <w:r w:rsidR="00AA16BC">
        <w:t xml:space="preserve">, which generally causes </w:t>
      </w:r>
      <w:r w:rsidR="006D5FCC">
        <w:t xml:space="preserve">the </w:t>
      </w:r>
      <w:r w:rsidRPr="00D042BC">
        <w:t xml:space="preserve">overall fuel consumption </w:t>
      </w:r>
      <w:r w:rsidR="00AA16BC">
        <w:t>to</w:t>
      </w:r>
      <w:r w:rsidR="006D5FCC">
        <w:t xml:space="preserve"> </w:t>
      </w:r>
      <w:r w:rsidR="00AA16BC">
        <w:t>increase</w:t>
      </w:r>
      <w:r w:rsidRPr="00D042BC">
        <w:t xml:space="preserve"> at lower ambient temperatures.</w:t>
      </w:r>
      <w:r>
        <w:t xml:space="preserve">  </w:t>
      </w:r>
      <w:r w:rsidR="00D042BC" w:rsidRPr="00D042BC">
        <w:t xml:space="preserve">The </w:t>
      </w:r>
      <w:r w:rsidR="000D5656">
        <w:t xml:space="preserve">proposed </w:t>
      </w:r>
      <w:r w:rsidR="00955818">
        <w:t>combustion turbine generator</w:t>
      </w:r>
      <w:r w:rsidR="00402036">
        <w:t xml:space="preserve"> (CTG)</w:t>
      </w:r>
      <w:r w:rsidR="00D042BC" w:rsidRPr="00D042BC">
        <w:t xml:space="preserve"> and </w:t>
      </w:r>
      <w:r w:rsidR="00955818">
        <w:t>steam turbine generator</w:t>
      </w:r>
      <w:r w:rsidR="00D042BC" w:rsidRPr="00D042BC">
        <w:t xml:space="preserve"> will have a </w:t>
      </w:r>
      <w:r w:rsidR="00D95CA8">
        <w:t>net</w:t>
      </w:r>
      <w:r w:rsidR="00D042BC" w:rsidRPr="00D042BC">
        <w:t xml:space="preserve"> capacity of</w:t>
      </w:r>
      <w:r w:rsidR="00D042BC">
        <w:t xml:space="preserve"> </w:t>
      </w:r>
      <w:r w:rsidR="00D042BC" w:rsidRPr="00D042BC">
        <w:t>approximately 573 MW (winter</w:t>
      </w:r>
      <w:r w:rsidR="00017AF2">
        <w:t xml:space="preserve"> </w:t>
      </w:r>
      <w:r w:rsidR="00D95CA8">
        <w:t>rating</w:t>
      </w:r>
      <w:r w:rsidR="00D042BC" w:rsidRPr="00D042BC">
        <w:t xml:space="preserve">) </w:t>
      </w:r>
      <w:r w:rsidR="00D95CA8">
        <w:t xml:space="preserve">operating </w:t>
      </w:r>
      <w:r w:rsidR="00D042BC" w:rsidRPr="00D042BC">
        <w:t xml:space="preserve">at an ambient air temperature of 59°F </w:t>
      </w:r>
      <w:r w:rsidR="00D95CA8">
        <w:t>with</w:t>
      </w:r>
      <w:r w:rsidR="00D042BC" w:rsidRPr="00D042BC">
        <w:t xml:space="preserve"> evaporative cooling</w:t>
      </w:r>
      <w:r w:rsidR="00D95CA8">
        <w:t xml:space="preserve"> and duct firing</w:t>
      </w:r>
      <w:r w:rsidR="00D042BC" w:rsidRPr="00D042BC">
        <w:t>.</w:t>
      </w:r>
      <w:r w:rsidR="00C57421">
        <w:t xml:space="preserve"> </w:t>
      </w:r>
      <w:r w:rsidR="00955818">
        <w:t xml:space="preserve"> </w:t>
      </w:r>
      <w:r w:rsidR="00D042BC" w:rsidRPr="00C57421">
        <w:t xml:space="preserve">The heat recovery steam generator (HRSG) will have duct firing with </w:t>
      </w:r>
      <w:r w:rsidR="00046ABF">
        <w:t xml:space="preserve">a </w:t>
      </w:r>
      <w:r w:rsidR="00D042BC" w:rsidRPr="00C57421">
        <w:t xml:space="preserve">heat input </w:t>
      </w:r>
      <w:r w:rsidR="00046ABF">
        <w:t xml:space="preserve">rate </w:t>
      </w:r>
      <w:r w:rsidR="00D042BC" w:rsidRPr="00C57421">
        <w:t>of approximately 210 MMB</w:t>
      </w:r>
      <w:r w:rsidR="00B8254D">
        <w:t>tu</w:t>
      </w:r>
      <w:r w:rsidR="00D042BC" w:rsidRPr="00C57421">
        <w:t>/h</w:t>
      </w:r>
      <w:r w:rsidR="00B8254D">
        <w:t>ou</w:t>
      </w:r>
      <w:r w:rsidR="00D042BC" w:rsidRPr="00C57421">
        <w:t>r.</w:t>
      </w:r>
      <w:r w:rsidR="00D042BC" w:rsidRPr="00D042BC">
        <w:t xml:space="preserve"> </w:t>
      </w:r>
      <w:r w:rsidR="00D63C1F">
        <w:t xml:space="preserve"> The CTG will use only natural gas as fuel.  Natural gas will be transported to the </w:t>
      </w:r>
      <w:r w:rsidR="0067144D">
        <w:t>SHCCF</w:t>
      </w:r>
      <w:r w:rsidR="00D63C1F">
        <w:t xml:space="preserve"> by the existing pipeline connection to the FGT lateral.  The Project will be connected to a new natural gas metering yard.  The</w:t>
      </w:r>
      <w:r w:rsidR="00D63C1F" w:rsidRPr="00D63C1F">
        <w:t xml:space="preserve"> </w:t>
      </w:r>
      <w:r w:rsidR="00D63C1F">
        <w:t xml:space="preserve">proposed auxiliary boiler will be used during start up and shutdown </w:t>
      </w:r>
      <w:r w:rsidR="00D56642">
        <w:t xml:space="preserve">and </w:t>
      </w:r>
      <w:r w:rsidR="00D63C1F">
        <w:t>when steam</w:t>
      </w:r>
      <w:r w:rsidR="000E3EEC">
        <w:t xml:space="preserve"> is not available from the HRSG</w:t>
      </w:r>
      <w:r w:rsidR="00D56642">
        <w:t>.  A</w:t>
      </w:r>
      <w:r w:rsidR="00D63C1F">
        <w:t>n electric natural gas heater</w:t>
      </w:r>
      <w:r w:rsidR="004C7944">
        <w:t xml:space="preserve"> (not an emission point)</w:t>
      </w:r>
      <w:r w:rsidR="00D63C1F">
        <w:t xml:space="preserve"> will be used during operation to heat natural gas.</w:t>
      </w:r>
    </w:p>
    <w:p w:rsidR="00746205" w:rsidRPr="0005239E" w:rsidRDefault="00746205" w:rsidP="0005239E">
      <w:pPr>
        <w:pStyle w:val="ListParagraph"/>
        <w:widowControl w:val="0"/>
        <w:numPr>
          <w:ilvl w:val="1"/>
          <w:numId w:val="3"/>
        </w:numPr>
        <w:spacing w:after="120"/>
        <w:ind w:left="720" w:hanging="720"/>
        <w:contextualSpacing w:val="0"/>
        <w:rPr>
          <w:rFonts w:ascii="Times New Roman Bold" w:hAnsi="Times New Roman Bold"/>
          <w:b/>
          <w:bCs/>
          <w:sz w:val="22"/>
          <w:szCs w:val="22"/>
        </w:rPr>
      </w:pPr>
      <w:r w:rsidRPr="0005239E">
        <w:rPr>
          <w:b/>
          <w:bCs/>
          <w:sz w:val="22"/>
          <w:szCs w:val="22"/>
        </w:rPr>
        <w:t>Processing Schedule</w:t>
      </w:r>
    </w:p>
    <w:p w:rsidR="00746205" w:rsidRDefault="006E426E" w:rsidP="00962BE4">
      <w:pPr>
        <w:pStyle w:val="BodyText"/>
        <w:widowControl w:val="0"/>
        <w:numPr>
          <w:ilvl w:val="12"/>
          <w:numId w:val="0"/>
        </w:numPr>
        <w:rPr>
          <w:sz w:val="22"/>
          <w:szCs w:val="22"/>
        </w:rPr>
      </w:pPr>
      <w:r>
        <w:rPr>
          <w:sz w:val="22"/>
          <w:szCs w:val="22"/>
        </w:rPr>
        <w:t>2/16/2018</w:t>
      </w:r>
      <w:r w:rsidR="00746205" w:rsidRPr="00730F9C">
        <w:rPr>
          <w:sz w:val="22"/>
          <w:szCs w:val="22"/>
        </w:rPr>
        <w:tab/>
      </w:r>
      <w:r w:rsidR="00DA0489" w:rsidRPr="00730F9C">
        <w:rPr>
          <w:sz w:val="22"/>
          <w:szCs w:val="22"/>
        </w:rPr>
        <w:t>Department r</w:t>
      </w:r>
      <w:r w:rsidR="00746205" w:rsidRPr="00730F9C">
        <w:rPr>
          <w:sz w:val="22"/>
          <w:szCs w:val="22"/>
        </w:rPr>
        <w:t>eceived the application for a</w:t>
      </w:r>
      <w:r w:rsidR="000616EB">
        <w:rPr>
          <w:sz w:val="22"/>
          <w:szCs w:val="22"/>
        </w:rPr>
        <w:t>n</w:t>
      </w:r>
      <w:r w:rsidR="00746205" w:rsidRPr="00730F9C">
        <w:rPr>
          <w:sz w:val="22"/>
          <w:szCs w:val="22"/>
        </w:rPr>
        <w:t xml:space="preserve"> air pollution construction permit.</w:t>
      </w:r>
    </w:p>
    <w:p w:rsidR="00C10283" w:rsidRDefault="00C10283" w:rsidP="00962BE4">
      <w:pPr>
        <w:pStyle w:val="BodyText"/>
        <w:widowControl w:val="0"/>
        <w:numPr>
          <w:ilvl w:val="12"/>
          <w:numId w:val="0"/>
        </w:numPr>
        <w:rPr>
          <w:sz w:val="22"/>
          <w:szCs w:val="22"/>
        </w:rPr>
      </w:pPr>
      <w:r w:rsidRPr="00BE7DF9">
        <w:rPr>
          <w:sz w:val="22"/>
          <w:szCs w:val="22"/>
        </w:rPr>
        <w:t>5/</w:t>
      </w:r>
      <w:r w:rsidR="00BE7DF9" w:rsidRPr="00BE7DF9">
        <w:rPr>
          <w:sz w:val="22"/>
          <w:szCs w:val="22"/>
        </w:rPr>
        <w:t>11</w:t>
      </w:r>
      <w:r w:rsidRPr="00BE7DF9">
        <w:rPr>
          <w:sz w:val="22"/>
          <w:szCs w:val="22"/>
        </w:rPr>
        <w:t>/2018</w:t>
      </w:r>
      <w:r>
        <w:rPr>
          <w:sz w:val="22"/>
          <w:szCs w:val="22"/>
        </w:rPr>
        <w:tab/>
        <w:t>Department issued draft permit package.</w:t>
      </w:r>
    </w:p>
    <w:p w:rsidR="003D02D6" w:rsidRDefault="003D02D6" w:rsidP="00962BE4">
      <w:pPr>
        <w:pStyle w:val="BodyText"/>
        <w:widowControl w:val="0"/>
        <w:numPr>
          <w:ilvl w:val="12"/>
          <w:numId w:val="0"/>
        </w:numPr>
        <w:rPr>
          <w:sz w:val="22"/>
          <w:szCs w:val="22"/>
        </w:rPr>
      </w:pPr>
      <w:r>
        <w:rPr>
          <w:sz w:val="22"/>
          <w:szCs w:val="22"/>
        </w:rPr>
        <w:t>5/21/2018</w:t>
      </w:r>
      <w:r>
        <w:rPr>
          <w:sz w:val="22"/>
          <w:szCs w:val="22"/>
        </w:rPr>
        <w:tab/>
      </w:r>
      <w:r w:rsidR="00AC47DD">
        <w:rPr>
          <w:sz w:val="22"/>
          <w:szCs w:val="22"/>
        </w:rPr>
        <w:t xml:space="preserve">Applicant requested new facility </w:t>
      </w:r>
      <w:bookmarkStart w:id="10" w:name="_Hlk515001720"/>
      <w:r w:rsidR="00AC47DD">
        <w:rPr>
          <w:sz w:val="22"/>
          <w:szCs w:val="22"/>
        </w:rPr>
        <w:t xml:space="preserve">identification number </w:t>
      </w:r>
      <w:bookmarkEnd w:id="10"/>
      <w:r w:rsidR="00AC47DD">
        <w:rPr>
          <w:sz w:val="22"/>
          <w:szCs w:val="22"/>
        </w:rPr>
        <w:t>for ease of separation.</w:t>
      </w:r>
    </w:p>
    <w:p w:rsidR="00AC47DD" w:rsidRPr="00730F9C" w:rsidRDefault="00AC47DD" w:rsidP="00962BE4">
      <w:pPr>
        <w:pStyle w:val="BodyText"/>
        <w:widowControl w:val="0"/>
        <w:numPr>
          <w:ilvl w:val="12"/>
          <w:numId w:val="0"/>
        </w:numPr>
        <w:rPr>
          <w:sz w:val="22"/>
          <w:szCs w:val="22"/>
        </w:rPr>
      </w:pPr>
      <w:r>
        <w:rPr>
          <w:sz w:val="22"/>
          <w:szCs w:val="22"/>
        </w:rPr>
        <w:t>5/2</w:t>
      </w:r>
      <w:r w:rsidR="00A73FFE">
        <w:rPr>
          <w:sz w:val="22"/>
          <w:szCs w:val="22"/>
        </w:rPr>
        <w:t>9</w:t>
      </w:r>
      <w:bookmarkStart w:id="11" w:name="_GoBack"/>
      <w:bookmarkEnd w:id="11"/>
      <w:r>
        <w:rPr>
          <w:sz w:val="22"/>
          <w:szCs w:val="22"/>
        </w:rPr>
        <w:t>/2018</w:t>
      </w:r>
      <w:r>
        <w:rPr>
          <w:sz w:val="22"/>
          <w:szCs w:val="22"/>
        </w:rPr>
        <w:tab/>
      </w:r>
      <w:r w:rsidRPr="00AC47DD">
        <w:rPr>
          <w:sz w:val="22"/>
          <w:szCs w:val="22"/>
        </w:rPr>
        <w:t xml:space="preserve">Department </w:t>
      </w:r>
      <w:r>
        <w:rPr>
          <w:sz w:val="22"/>
          <w:szCs w:val="22"/>
        </w:rPr>
        <w:t>re</w:t>
      </w:r>
      <w:r w:rsidRPr="00AC47DD">
        <w:rPr>
          <w:sz w:val="22"/>
          <w:szCs w:val="22"/>
        </w:rPr>
        <w:t>issued draft permit package</w:t>
      </w:r>
      <w:r>
        <w:rPr>
          <w:sz w:val="22"/>
          <w:szCs w:val="22"/>
        </w:rPr>
        <w:t xml:space="preserve"> with the new facility </w:t>
      </w:r>
      <w:r w:rsidRPr="00AC47DD">
        <w:rPr>
          <w:sz w:val="22"/>
          <w:szCs w:val="22"/>
        </w:rPr>
        <w:t>identification number.</w:t>
      </w:r>
    </w:p>
    <w:p w:rsidR="00193F10" w:rsidRDefault="00193F10" w:rsidP="001D113D">
      <w:pPr>
        <w:pStyle w:val="ListParagraph"/>
        <w:widowControl w:val="0"/>
        <w:numPr>
          <w:ilvl w:val="0"/>
          <w:numId w:val="3"/>
        </w:numPr>
        <w:spacing w:after="120"/>
        <w:ind w:left="720" w:hanging="720"/>
        <w:contextualSpacing w:val="0"/>
        <w:rPr>
          <w:b/>
          <w:caps/>
          <w:sz w:val="22"/>
          <w:szCs w:val="22"/>
        </w:rPr>
      </w:pPr>
      <w:r w:rsidRPr="00746205">
        <w:rPr>
          <w:b/>
          <w:caps/>
          <w:sz w:val="22"/>
          <w:szCs w:val="22"/>
        </w:rPr>
        <w:t>Applicable Regulations</w:t>
      </w:r>
    </w:p>
    <w:p w:rsidR="004F496C" w:rsidRPr="00E17E52" w:rsidRDefault="004F496C" w:rsidP="001D113D">
      <w:pPr>
        <w:pStyle w:val="ListParagraph"/>
        <w:widowControl w:val="0"/>
        <w:numPr>
          <w:ilvl w:val="1"/>
          <w:numId w:val="3"/>
        </w:numPr>
        <w:spacing w:after="120"/>
        <w:ind w:left="720" w:hanging="720"/>
        <w:contextualSpacing w:val="0"/>
        <w:rPr>
          <w:b/>
          <w:caps/>
          <w:sz w:val="22"/>
          <w:szCs w:val="22"/>
        </w:rPr>
      </w:pPr>
      <w:r w:rsidRPr="00E17E52">
        <w:rPr>
          <w:b/>
          <w:sz w:val="22"/>
          <w:szCs w:val="22"/>
        </w:rPr>
        <w:t>State Regulations</w:t>
      </w:r>
    </w:p>
    <w:p w:rsidR="00653DB0" w:rsidRPr="00653DB0" w:rsidRDefault="00653DB0" w:rsidP="00653DB0">
      <w:pPr>
        <w:spacing w:after="120"/>
        <w:rPr>
          <w:sz w:val="22"/>
          <w:szCs w:val="22"/>
        </w:rPr>
      </w:pPr>
      <w:r w:rsidRPr="00653DB0">
        <w:rPr>
          <w:sz w:val="22"/>
          <w:szCs w:val="22"/>
        </w:rPr>
        <w:t xml:space="preserve">Projects at stationary sources with the potential to emit air pollution are subject to the applicable environmental laws specified in Section 403 of the Florida Statutes (F.S.).  The statutes authorize the Department of Environmental Protection (Department) to establish air quality regulations as part of the Florida Administrative Code (F.A.C.), which includes the applicable chapters contained in </w:t>
      </w:r>
      <w:r w:rsidRPr="00653DB0">
        <w:rPr>
          <w:b/>
        </w:rPr>
        <w:fldChar w:fldCharType="begin"/>
      </w:r>
      <w:r w:rsidRPr="00653DB0">
        <w:rPr>
          <w:b/>
        </w:rPr>
        <w:instrText xml:space="preserve"> REF _Ref343241113 \h  \* MERGEFORMAT </w:instrText>
      </w:r>
      <w:r w:rsidRPr="00653DB0">
        <w:rPr>
          <w:b/>
        </w:rPr>
      </w:r>
      <w:r w:rsidRPr="00653DB0">
        <w:rPr>
          <w:b/>
        </w:rPr>
        <w:fldChar w:fldCharType="separate"/>
      </w:r>
      <w:r w:rsidR="003E3FA4" w:rsidRPr="003E3FA4">
        <w:rPr>
          <w:b/>
          <w:sz w:val="22"/>
          <w:szCs w:val="22"/>
        </w:rPr>
        <w:t xml:space="preserve">Table </w:t>
      </w:r>
      <w:r w:rsidR="003E3FA4" w:rsidRPr="003E3FA4">
        <w:rPr>
          <w:b/>
          <w:noProof/>
          <w:sz w:val="22"/>
          <w:szCs w:val="22"/>
        </w:rPr>
        <w:t>2</w:t>
      </w:r>
      <w:r w:rsidRPr="00653DB0">
        <w:rPr>
          <w:b/>
        </w:rPr>
        <w:fldChar w:fldCharType="end"/>
      </w:r>
      <w:r w:rsidRPr="00653DB0">
        <w:rPr>
          <w:sz w:val="22"/>
          <w:szCs w:val="22"/>
        </w:rPr>
        <w:t>.</w:t>
      </w:r>
    </w:p>
    <w:p w:rsidR="00653DB0" w:rsidRPr="00653DB0" w:rsidRDefault="00653DB0" w:rsidP="00B71241">
      <w:pPr>
        <w:pStyle w:val="ListParagraph"/>
        <w:spacing w:after="120"/>
        <w:jc w:val="center"/>
        <w:rPr>
          <w:rFonts w:ascii="Times New Roman Bold" w:hAnsi="Times New Roman Bold"/>
          <w:b/>
          <w:caps/>
          <w:sz w:val="22"/>
          <w:szCs w:val="22"/>
          <w:u w:val="single"/>
        </w:rPr>
      </w:pPr>
      <w:bookmarkStart w:id="12" w:name="_Ref343241113"/>
      <w:r w:rsidRPr="00653DB0">
        <w:rPr>
          <w:rFonts w:ascii="Times New Roman Bold" w:hAnsi="Times New Roman Bold"/>
          <w:b/>
          <w:caps/>
          <w:sz w:val="22"/>
        </w:rPr>
        <w:t xml:space="preserve">Table </w:t>
      </w:r>
      <w:r w:rsidRPr="003977E3">
        <w:fldChar w:fldCharType="begin"/>
      </w:r>
      <w:r w:rsidRPr="00653DB0">
        <w:rPr>
          <w:rFonts w:ascii="Times New Roman Bold" w:hAnsi="Times New Roman Bold"/>
          <w:b/>
          <w:caps/>
          <w:sz w:val="22"/>
        </w:rPr>
        <w:instrText xml:space="preserve"> SEQ Table \* ARABIC </w:instrText>
      </w:r>
      <w:r w:rsidRPr="003977E3">
        <w:fldChar w:fldCharType="separate"/>
      </w:r>
      <w:r w:rsidR="007204D0">
        <w:rPr>
          <w:rFonts w:ascii="Times New Roman Bold" w:hAnsi="Times New Roman Bold"/>
          <w:b/>
          <w:caps/>
          <w:noProof/>
          <w:sz w:val="22"/>
        </w:rPr>
        <w:t>2</w:t>
      </w:r>
      <w:r w:rsidRPr="003977E3">
        <w:fldChar w:fldCharType="end"/>
      </w:r>
      <w:bookmarkEnd w:id="12"/>
      <w:r w:rsidR="00FA48A4">
        <w:t>.</w:t>
      </w:r>
      <w:r w:rsidRPr="00653DB0">
        <w:rPr>
          <w:rFonts w:ascii="Times New Roman Bold" w:hAnsi="Times New Roman Bold"/>
          <w:b/>
          <w:caps/>
          <w:sz w:val="22"/>
        </w:rPr>
        <w:t xml:space="preserve">  </w:t>
      </w:r>
      <w:r w:rsidRPr="00653DB0">
        <w:rPr>
          <w:rFonts w:ascii="Times New Roman Bold" w:hAnsi="Times New Roman Bold"/>
          <w:b/>
          <w:bCs/>
          <w:caps/>
          <w:sz w:val="22"/>
          <w:szCs w:val="22"/>
        </w:rPr>
        <w:t>Applicable Rules from the F.A.C.</w:t>
      </w:r>
    </w:p>
    <w:tbl>
      <w:tblPr>
        <w:tblW w:w="9953" w:type="dxa"/>
        <w:tblInd w:w="108"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4A0" w:firstRow="1" w:lastRow="0" w:firstColumn="1" w:lastColumn="0" w:noHBand="0" w:noVBand="1"/>
      </w:tblPr>
      <w:tblGrid>
        <w:gridCol w:w="1062"/>
        <w:gridCol w:w="8891"/>
      </w:tblGrid>
      <w:tr w:rsidR="00653DB0" w:rsidRPr="003977E3" w:rsidTr="00AC47DD">
        <w:trPr>
          <w:trHeight w:val="354"/>
          <w:tblHeader/>
        </w:trPr>
        <w:tc>
          <w:tcPr>
            <w:tcW w:w="1062" w:type="dxa"/>
            <w:tcBorders>
              <w:top w:val="single" w:sz="12" w:space="0" w:color="auto"/>
              <w:left w:val="single" w:sz="12" w:space="0" w:color="auto"/>
              <w:bottom w:val="single" w:sz="12" w:space="0" w:color="auto"/>
              <w:right w:val="single" w:sz="12" w:space="0" w:color="auto"/>
            </w:tcBorders>
            <w:shd w:val="clear" w:color="auto" w:fill="B8CCE4" w:themeFill="accent1" w:themeFillTint="66"/>
            <w:vAlign w:val="center"/>
            <w:hideMark/>
          </w:tcPr>
          <w:p w:rsidR="00653DB0" w:rsidRPr="003977E3" w:rsidRDefault="00653DB0" w:rsidP="00892FF3">
            <w:pPr>
              <w:autoSpaceDE w:val="0"/>
              <w:autoSpaceDN w:val="0"/>
              <w:adjustRightInd w:val="0"/>
              <w:spacing w:before="40" w:after="40"/>
              <w:jc w:val="center"/>
              <w:rPr>
                <w:color w:val="000000"/>
              </w:rPr>
            </w:pPr>
            <w:r w:rsidRPr="003977E3">
              <w:rPr>
                <w:b/>
                <w:bCs/>
                <w:color w:val="000000"/>
              </w:rPr>
              <w:t>Chapter</w:t>
            </w:r>
          </w:p>
        </w:tc>
        <w:tc>
          <w:tcPr>
            <w:tcW w:w="8891" w:type="dxa"/>
            <w:tcBorders>
              <w:top w:val="single" w:sz="12" w:space="0" w:color="auto"/>
              <w:left w:val="single" w:sz="12" w:space="0" w:color="auto"/>
              <w:bottom w:val="single" w:sz="12" w:space="0" w:color="auto"/>
              <w:right w:val="single" w:sz="12" w:space="0" w:color="auto"/>
            </w:tcBorders>
            <w:shd w:val="clear" w:color="auto" w:fill="B8CCE4" w:themeFill="accent1" w:themeFillTint="66"/>
            <w:vAlign w:val="center"/>
            <w:hideMark/>
          </w:tcPr>
          <w:p w:rsidR="00653DB0" w:rsidRPr="003977E3" w:rsidRDefault="00653DB0" w:rsidP="00892FF3">
            <w:pPr>
              <w:pStyle w:val="BodyText2"/>
              <w:widowControl w:val="0"/>
              <w:numPr>
                <w:ilvl w:val="0"/>
                <w:numId w:val="0"/>
              </w:numPr>
              <w:spacing w:after="0"/>
              <w:jc w:val="left"/>
              <w:rPr>
                <w:color w:val="000000"/>
              </w:rPr>
            </w:pPr>
            <w:r w:rsidRPr="00845F1F">
              <w:rPr>
                <w:b/>
                <w:sz w:val="20"/>
              </w:rPr>
              <w:t>Description</w:t>
            </w:r>
          </w:p>
        </w:tc>
      </w:tr>
      <w:tr w:rsidR="00653DB0" w:rsidRPr="003977E3" w:rsidTr="00AC47DD">
        <w:trPr>
          <w:trHeight w:val="306"/>
        </w:trPr>
        <w:tc>
          <w:tcPr>
            <w:tcW w:w="1062" w:type="dxa"/>
            <w:tcBorders>
              <w:top w:val="single" w:sz="12" w:space="0" w:color="auto"/>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2" w:history="1">
              <w:r w:rsidR="00653DB0" w:rsidRPr="003977E3">
                <w:rPr>
                  <w:color w:val="0000FF"/>
                  <w:u w:val="single"/>
                </w:rPr>
                <w:t>62-4</w:t>
              </w:r>
            </w:hyperlink>
          </w:p>
        </w:tc>
        <w:tc>
          <w:tcPr>
            <w:tcW w:w="8891" w:type="dxa"/>
            <w:tcBorders>
              <w:top w:val="single" w:sz="12" w:space="0" w:color="auto"/>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Permits </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3" w:history="1">
              <w:r w:rsidR="00653DB0" w:rsidRPr="003977E3">
                <w:rPr>
                  <w:color w:val="0000FF"/>
                  <w:u w:val="single"/>
                </w:rPr>
                <w:t>62-17</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Electrical Power Plant Siting</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4" w:history="1">
              <w:r w:rsidR="00653DB0" w:rsidRPr="003977E3">
                <w:rPr>
                  <w:color w:val="0000FF"/>
                  <w:u w:val="single"/>
                </w:rPr>
                <w:t>62-204</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Air Pollution Control – General Provisions </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5" w:history="1">
              <w:r w:rsidR="00653DB0" w:rsidRPr="003977E3">
                <w:rPr>
                  <w:color w:val="0000FF"/>
                  <w:u w:val="single"/>
                </w:rPr>
                <w:t>62-210</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Stationary Sources of Air Pollution – General Requirements </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6" w:history="1">
              <w:r w:rsidR="00653DB0" w:rsidRPr="003977E3">
                <w:rPr>
                  <w:color w:val="0000FF"/>
                  <w:u w:val="single"/>
                </w:rPr>
                <w:t>62-212</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Stationary Sources – Preconstruction Review </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7" w:history="1">
              <w:r w:rsidR="00653DB0" w:rsidRPr="003977E3">
                <w:rPr>
                  <w:color w:val="0000FF"/>
                  <w:u w:val="single"/>
                </w:rPr>
                <w:t>62-213</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Operation Permits for Major Sources (Title V) of Air Pollution </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tcPr>
          <w:p w:rsidR="00653DB0" w:rsidRPr="00F37128" w:rsidRDefault="00A73FFE" w:rsidP="00C7757C">
            <w:pPr>
              <w:jc w:val="center"/>
            </w:pPr>
            <w:hyperlink r:id="rId18" w:history="1">
              <w:r w:rsidR="00653DB0" w:rsidRPr="00F37128">
                <w:rPr>
                  <w:rStyle w:val="Hyperlink"/>
                </w:rPr>
                <w:t>62-214</w:t>
              </w:r>
            </w:hyperlink>
          </w:p>
        </w:tc>
        <w:tc>
          <w:tcPr>
            <w:tcW w:w="8891" w:type="dxa"/>
            <w:tcBorders>
              <w:top w:val="single" w:sz="4" w:space="0" w:color="000000"/>
              <w:left w:val="single" w:sz="12" w:space="0" w:color="auto"/>
              <w:bottom w:val="single" w:sz="4" w:space="0" w:color="000000"/>
              <w:right w:val="single" w:sz="12" w:space="0" w:color="auto"/>
            </w:tcBorders>
            <w:vAlign w:val="center"/>
          </w:tcPr>
          <w:p w:rsidR="00653DB0" w:rsidRPr="00F37128" w:rsidRDefault="00653DB0" w:rsidP="00C7757C">
            <w:r w:rsidRPr="00F37128">
              <w:t>Acid Rain Program Requirements</w:t>
            </w:r>
          </w:p>
        </w:tc>
      </w:tr>
      <w:tr w:rsidR="00653DB0" w:rsidRPr="003977E3" w:rsidTr="00AC47DD">
        <w:trPr>
          <w:trHeight w:val="306"/>
        </w:trPr>
        <w:tc>
          <w:tcPr>
            <w:tcW w:w="1062"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19" w:history="1">
              <w:r w:rsidR="00653DB0" w:rsidRPr="003977E3">
                <w:rPr>
                  <w:color w:val="0000FF"/>
                  <w:u w:val="single"/>
                </w:rPr>
                <w:t>62-296</w:t>
              </w:r>
            </w:hyperlink>
          </w:p>
        </w:tc>
        <w:tc>
          <w:tcPr>
            <w:tcW w:w="8891" w:type="dxa"/>
            <w:tcBorders>
              <w:top w:val="single" w:sz="4" w:space="0" w:color="000000"/>
              <w:left w:val="single" w:sz="12" w:space="0" w:color="auto"/>
              <w:bottom w:val="single" w:sz="4" w:space="0" w:color="000000"/>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Stationary Sources – Emission Standards </w:t>
            </w:r>
          </w:p>
        </w:tc>
      </w:tr>
      <w:tr w:rsidR="00653DB0" w:rsidRPr="003977E3" w:rsidTr="00AC47DD">
        <w:trPr>
          <w:trHeight w:val="306"/>
        </w:trPr>
        <w:tc>
          <w:tcPr>
            <w:tcW w:w="1062" w:type="dxa"/>
            <w:tcBorders>
              <w:top w:val="single" w:sz="4" w:space="0" w:color="000000"/>
              <w:left w:val="single" w:sz="12" w:space="0" w:color="auto"/>
              <w:bottom w:val="single" w:sz="12" w:space="0" w:color="auto"/>
              <w:right w:val="single" w:sz="12" w:space="0" w:color="auto"/>
            </w:tcBorders>
            <w:vAlign w:val="center"/>
            <w:hideMark/>
          </w:tcPr>
          <w:p w:rsidR="00653DB0" w:rsidRPr="003977E3" w:rsidRDefault="00A73FFE" w:rsidP="00892FF3">
            <w:pPr>
              <w:autoSpaceDE w:val="0"/>
              <w:autoSpaceDN w:val="0"/>
              <w:adjustRightInd w:val="0"/>
              <w:spacing w:before="20" w:after="20"/>
              <w:jc w:val="center"/>
              <w:rPr>
                <w:color w:val="000000"/>
              </w:rPr>
            </w:pPr>
            <w:hyperlink r:id="rId20" w:history="1">
              <w:r w:rsidR="00653DB0" w:rsidRPr="003977E3">
                <w:rPr>
                  <w:color w:val="0000FF"/>
                  <w:u w:val="single"/>
                </w:rPr>
                <w:t>62-297</w:t>
              </w:r>
            </w:hyperlink>
          </w:p>
        </w:tc>
        <w:tc>
          <w:tcPr>
            <w:tcW w:w="8891" w:type="dxa"/>
            <w:tcBorders>
              <w:top w:val="single" w:sz="4" w:space="0" w:color="000000"/>
              <w:left w:val="single" w:sz="12" w:space="0" w:color="auto"/>
              <w:bottom w:val="single" w:sz="12" w:space="0" w:color="auto"/>
              <w:right w:val="single" w:sz="12" w:space="0" w:color="auto"/>
            </w:tcBorders>
            <w:vAlign w:val="center"/>
            <w:hideMark/>
          </w:tcPr>
          <w:p w:rsidR="00653DB0" w:rsidRPr="003977E3" w:rsidRDefault="00653DB0" w:rsidP="00C7757C">
            <w:pPr>
              <w:autoSpaceDE w:val="0"/>
              <w:autoSpaceDN w:val="0"/>
              <w:adjustRightInd w:val="0"/>
              <w:spacing w:before="20" w:after="20"/>
              <w:rPr>
                <w:color w:val="000000"/>
              </w:rPr>
            </w:pPr>
            <w:r w:rsidRPr="003977E3">
              <w:rPr>
                <w:color w:val="000000"/>
              </w:rPr>
              <w:t xml:space="preserve">Stationary Sources – Emissions Monitoring </w:t>
            </w:r>
          </w:p>
        </w:tc>
      </w:tr>
    </w:tbl>
    <w:p w:rsidR="005325B9" w:rsidRPr="00E17E52" w:rsidRDefault="005325B9" w:rsidP="001D113D">
      <w:pPr>
        <w:pStyle w:val="ListParagraph"/>
        <w:widowControl w:val="0"/>
        <w:numPr>
          <w:ilvl w:val="1"/>
          <w:numId w:val="3"/>
        </w:numPr>
        <w:spacing w:before="120" w:after="120"/>
        <w:ind w:left="720" w:hanging="720"/>
        <w:contextualSpacing w:val="0"/>
        <w:rPr>
          <w:b/>
          <w:sz w:val="22"/>
        </w:rPr>
      </w:pPr>
      <w:r w:rsidRPr="00E17E52">
        <w:rPr>
          <w:b/>
          <w:sz w:val="22"/>
        </w:rPr>
        <w:t xml:space="preserve">Federal </w:t>
      </w:r>
      <w:r w:rsidRPr="00E17E52">
        <w:rPr>
          <w:b/>
          <w:sz w:val="22"/>
          <w:szCs w:val="22"/>
        </w:rPr>
        <w:t>Regulations</w:t>
      </w:r>
    </w:p>
    <w:p w:rsidR="005325B9" w:rsidRDefault="005325B9" w:rsidP="00962BE4">
      <w:pPr>
        <w:pStyle w:val="BodyText2"/>
        <w:widowControl w:val="0"/>
        <w:numPr>
          <w:ilvl w:val="0"/>
          <w:numId w:val="0"/>
        </w:numPr>
        <w:jc w:val="left"/>
      </w:pPr>
      <w:r w:rsidRPr="00290299">
        <w:t xml:space="preserve">The Environmental Protection Agency </w:t>
      </w:r>
      <w:r w:rsidR="00F540FB">
        <w:t xml:space="preserve">(EPA) </w:t>
      </w:r>
      <w:r w:rsidRPr="00290299">
        <w:t xml:space="preserve">establishes air quality regulations in Title 40 of the Code of Federal Regulations (CFR).  Part 60 identifies New Source Performance Standards (NSPS) for a variety of industrial activities.  Part 61 specifies National Emissions Standards for Hazardous Air Pollutant (NESHAP) based on specific pollutants.  Part 63 </w:t>
      </w:r>
      <w:r>
        <w:t xml:space="preserve">specifies </w:t>
      </w:r>
      <w:r w:rsidRPr="00290299">
        <w:t xml:space="preserve">NESHAP </w:t>
      </w:r>
      <w:r>
        <w:t xml:space="preserve">provisions </w:t>
      </w:r>
      <w:r w:rsidRPr="00290299">
        <w:t>based on the Maximum Achievable Control Technology (MACT) for given source categories.  Federal regulations are adopted in Rule 62-204.800, F.A.C.</w:t>
      </w:r>
      <w:r>
        <w:t xml:space="preserve">  </w:t>
      </w:r>
      <w:r>
        <w:rPr>
          <w:szCs w:val="22"/>
        </w:rPr>
        <w:t xml:space="preserve">Additional details of the applicable federal </w:t>
      </w:r>
      <w:r w:rsidRPr="00290299">
        <w:rPr>
          <w:szCs w:val="22"/>
        </w:rPr>
        <w:t xml:space="preserve">regulations are </w:t>
      </w:r>
      <w:r>
        <w:rPr>
          <w:szCs w:val="22"/>
        </w:rPr>
        <w:t>provided in Section 3 of this report</w:t>
      </w:r>
      <w:r w:rsidRPr="00290299">
        <w:rPr>
          <w:szCs w:val="22"/>
        </w:rPr>
        <w:t>.</w:t>
      </w:r>
    </w:p>
    <w:p w:rsidR="007975B0" w:rsidRPr="00746205" w:rsidRDefault="007975B0" w:rsidP="001D113D">
      <w:pPr>
        <w:pStyle w:val="ListParagraph"/>
        <w:widowControl w:val="0"/>
        <w:numPr>
          <w:ilvl w:val="0"/>
          <w:numId w:val="3"/>
        </w:numPr>
        <w:spacing w:after="120"/>
        <w:ind w:left="720" w:hanging="720"/>
        <w:contextualSpacing w:val="0"/>
        <w:rPr>
          <w:b/>
          <w:caps/>
          <w:sz w:val="22"/>
          <w:szCs w:val="22"/>
        </w:rPr>
      </w:pPr>
      <w:r>
        <w:rPr>
          <w:b/>
          <w:caps/>
          <w:sz w:val="22"/>
          <w:szCs w:val="22"/>
        </w:rPr>
        <w:t xml:space="preserve">PSD </w:t>
      </w:r>
      <w:r w:rsidR="00584D97">
        <w:rPr>
          <w:b/>
          <w:caps/>
          <w:sz w:val="22"/>
          <w:szCs w:val="22"/>
        </w:rPr>
        <w:t xml:space="preserve">Applicability </w:t>
      </w:r>
      <w:r>
        <w:rPr>
          <w:b/>
          <w:caps/>
          <w:sz w:val="22"/>
          <w:szCs w:val="22"/>
        </w:rPr>
        <w:t>Review</w:t>
      </w:r>
    </w:p>
    <w:p w:rsidR="002E3095" w:rsidRPr="001D113D" w:rsidRDefault="002E3095" w:rsidP="001D113D">
      <w:pPr>
        <w:pStyle w:val="ListParagraph"/>
        <w:widowControl w:val="0"/>
        <w:numPr>
          <w:ilvl w:val="1"/>
          <w:numId w:val="3"/>
        </w:numPr>
        <w:spacing w:after="120"/>
        <w:ind w:left="720" w:hanging="720"/>
        <w:contextualSpacing w:val="0"/>
        <w:rPr>
          <w:b/>
          <w:caps/>
          <w:sz w:val="22"/>
          <w:szCs w:val="22"/>
        </w:rPr>
      </w:pPr>
      <w:r w:rsidRPr="00290299">
        <w:rPr>
          <w:b/>
          <w:sz w:val="22"/>
        </w:rPr>
        <w:t>General PSD Applicability</w:t>
      </w:r>
    </w:p>
    <w:p w:rsidR="00F42D3B" w:rsidRPr="00F42D3B" w:rsidRDefault="00F42D3B" w:rsidP="00F42D3B">
      <w:pPr>
        <w:widowControl w:val="0"/>
        <w:spacing w:after="120"/>
        <w:rPr>
          <w:rFonts w:eastAsia="Calibri"/>
          <w:sz w:val="22"/>
          <w:szCs w:val="22"/>
        </w:rPr>
      </w:pPr>
      <w:r w:rsidRPr="00F42D3B">
        <w:rPr>
          <w:rFonts w:eastAsia="Calibri"/>
          <w:sz w:val="22"/>
          <w:szCs w:val="22"/>
        </w:rPr>
        <w:t xml:space="preserve">The Department regulates major stationary sources in accordance with Florida’s PSD program pursuant to Rule </w:t>
      </w:r>
      <w:r w:rsidRPr="00F42D3B">
        <w:rPr>
          <w:rFonts w:eastAsia="Calibri"/>
          <w:sz w:val="22"/>
          <w:szCs w:val="22"/>
        </w:rPr>
        <w:lastRenderedPageBreak/>
        <w:t xml:space="preserve">62-212.400, F.A.C.  PSD preconstruction review is required in areas that are currently in attainment with the state and federal ambient air quality standards (AAQS) or areas designated as “unclassifiable” for these regulated pollutants.  Commonly addressed PSD pollutants in the power industry include: carbon monoxide (CO), </w:t>
      </w:r>
      <w:r w:rsidR="001D113D">
        <w:rPr>
          <w:rFonts w:eastAsia="Calibri"/>
          <w:sz w:val="22"/>
          <w:szCs w:val="22"/>
        </w:rPr>
        <w:t>nitrogen oxides (</w:t>
      </w:r>
      <w:r w:rsidRPr="00F42D3B">
        <w:rPr>
          <w:rFonts w:eastAsia="Calibri"/>
          <w:sz w:val="22"/>
          <w:szCs w:val="22"/>
        </w:rPr>
        <w:t>NO</w:t>
      </w:r>
      <w:r w:rsidRPr="00F42D3B">
        <w:rPr>
          <w:rFonts w:eastAsia="Calibri"/>
          <w:sz w:val="22"/>
          <w:szCs w:val="22"/>
          <w:vertAlign w:val="subscript"/>
        </w:rPr>
        <w:t>X</w:t>
      </w:r>
      <w:r w:rsidR="001D113D">
        <w:rPr>
          <w:rFonts w:eastAsia="Calibri"/>
          <w:sz w:val="22"/>
          <w:szCs w:val="22"/>
        </w:rPr>
        <w:t>)</w:t>
      </w:r>
      <w:r w:rsidRPr="00F42D3B">
        <w:rPr>
          <w:rFonts w:eastAsia="Calibri"/>
          <w:sz w:val="22"/>
          <w:szCs w:val="22"/>
        </w:rPr>
        <w:t>, particulate matter (PM), PM with a mean diameter of 10 microns or less (PM</w:t>
      </w:r>
      <w:r w:rsidRPr="00F42D3B">
        <w:rPr>
          <w:rFonts w:eastAsia="Calibri"/>
          <w:sz w:val="22"/>
          <w:szCs w:val="22"/>
          <w:vertAlign w:val="subscript"/>
        </w:rPr>
        <w:t>10</w:t>
      </w:r>
      <w:r w:rsidRPr="00F42D3B">
        <w:rPr>
          <w:rFonts w:eastAsia="Calibri"/>
          <w:sz w:val="22"/>
          <w:szCs w:val="22"/>
        </w:rPr>
        <w:t>), PM with a mean diameter of 2.5 microns or less (PM</w:t>
      </w:r>
      <w:r w:rsidRPr="00F42D3B">
        <w:rPr>
          <w:rFonts w:eastAsia="Calibri"/>
          <w:sz w:val="22"/>
          <w:szCs w:val="22"/>
          <w:vertAlign w:val="subscript"/>
        </w:rPr>
        <w:t>2.5</w:t>
      </w:r>
      <w:r w:rsidRPr="00F42D3B">
        <w:rPr>
          <w:rFonts w:eastAsia="Calibri"/>
          <w:sz w:val="22"/>
          <w:szCs w:val="22"/>
        </w:rPr>
        <w:t>), sulfur dioxide (SO</w:t>
      </w:r>
      <w:r w:rsidRPr="00F42D3B">
        <w:rPr>
          <w:rFonts w:eastAsia="Calibri"/>
          <w:sz w:val="22"/>
          <w:szCs w:val="22"/>
          <w:vertAlign w:val="subscript"/>
        </w:rPr>
        <w:t>2</w:t>
      </w:r>
      <w:r w:rsidRPr="00F42D3B">
        <w:rPr>
          <w:rFonts w:eastAsia="Calibri"/>
          <w:sz w:val="22"/>
          <w:szCs w:val="22"/>
        </w:rPr>
        <w:t xml:space="preserve">), volatile organic compounds (VOC), lead (Pb), fluorides (F), sulfuric acid mist (SAM), and mercury (Hg). </w:t>
      </w:r>
    </w:p>
    <w:p w:rsidR="00F42D3B" w:rsidRPr="00F42D3B" w:rsidRDefault="00F42D3B" w:rsidP="00F42D3B">
      <w:pPr>
        <w:widowControl w:val="0"/>
        <w:spacing w:after="120"/>
        <w:rPr>
          <w:rFonts w:eastAsia="Calibri"/>
          <w:sz w:val="22"/>
          <w:szCs w:val="22"/>
        </w:rPr>
      </w:pPr>
      <w:r w:rsidRPr="00F42D3B">
        <w:rPr>
          <w:rFonts w:eastAsia="Calibri"/>
          <w:sz w:val="22"/>
          <w:szCs w:val="22"/>
        </w:rPr>
        <w:t>Additional PSD pollutants that are more common to certain other industries include: hydrogen sulfide (H</w:t>
      </w:r>
      <w:r w:rsidRPr="00F42D3B">
        <w:rPr>
          <w:rFonts w:eastAsia="Calibri"/>
          <w:sz w:val="22"/>
          <w:szCs w:val="22"/>
          <w:vertAlign w:val="subscript"/>
        </w:rPr>
        <w:t>2</w:t>
      </w:r>
      <w:r w:rsidRPr="00F42D3B">
        <w:rPr>
          <w:rFonts w:eastAsia="Calibri"/>
          <w:sz w:val="22"/>
          <w:szCs w:val="22"/>
        </w:rPr>
        <w:t>S), total reduced sulfur (TRS) including H</w:t>
      </w:r>
      <w:r w:rsidRPr="00F42D3B">
        <w:rPr>
          <w:rFonts w:eastAsia="Calibri"/>
          <w:sz w:val="22"/>
          <w:szCs w:val="22"/>
          <w:vertAlign w:val="subscript"/>
        </w:rPr>
        <w:t>2</w:t>
      </w:r>
      <w:r w:rsidRPr="00F42D3B">
        <w:rPr>
          <w:rFonts w:eastAsia="Calibri"/>
          <w:sz w:val="22"/>
          <w:szCs w:val="22"/>
        </w:rPr>
        <w:t>S, reduced sulfur compounds (RSC) including H</w:t>
      </w:r>
      <w:r w:rsidRPr="00F42D3B">
        <w:rPr>
          <w:rFonts w:eastAsia="Calibri"/>
          <w:sz w:val="22"/>
          <w:szCs w:val="22"/>
          <w:vertAlign w:val="subscript"/>
        </w:rPr>
        <w:t>2</w:t>
      </w:r>
      <w:r w:rsidRPr="00F42D3B">
        <w:rPr>
          <w:rFonts w:eastAsia="Calibri"/>
          <w:sz w:val="22"/>
          <w:szCs w:val="22"/>
        </w:rPr>
        <w:t>S, municipal waste combustor (MWC) organics measured as total tetra- through octa-chlorinated dibenzo-p-dioxins and dibenzofurans (dioxin/furan), MWC metals measured as PM; MWC acid gases measured as SO</w:t>
      </w:r>
      <w:r w:rsidRPr="00F42D3B">
        <w:rPr>
          <w:rFonts w:eastAsia="Calibri"/>
          <w:sz w:val="22"/>
          <w:szCs w:val="22"/>
          <w:vertAlign w:val="subscript"/>
        </w:rPr>
        <w:t>2</w:t>
      </w:r>
      <w:r w:rsidRPr="00F42D3B">
        <w:rPr>
          <w:rFonts w:eastAsia="Calibri"/>
          <w:sz w:val="22"/>
          <w:szCs w:val="22"/>
        </w:rPr>
        <w:t xml:space="preserve"> and hydrogen chloride (HCl), and </w:t>
      </w:r>
      <w:r w:rsidRPr="00F42D3B">
        <w:rPr>
          <w:sz w:val="22"/>
          <w:szCs w:val="22"/>
        </w:rPr>
        <w:t>MSW landfill emissions as non-methane organic compounds (NMOC)</w:t>
      </w:r>
      <w:r w:rsidRPr="00F42D3B">
        <w:rPr>
          <w:rFonts w:eastAsia="Calibri"/>
          <w:sz w:val="22"/>
          <w:szCs w:val="22"/>
        </w:rPr>
        <w:t xml:space="preserve">.  </w:t>
      </w:r>
    </w:p>
    <w:p w:rsidR="00F42D3B" w:rsidRPr="00F42D3B" w:rsidRDefault="00F42D3B" w:rsidP="00F42D3B">
      <w:pPr>
        <w:autoSpaceDE w:val="0"/>
        <w:autoSpaceDN w:val="0"/>
        <w:adjustRightInd w:val="0"/>
        <w:spacing w:after="60"/>
        <w:rPr>
          <w:color w:val="000000"/>
          <w:sz w:val="22"/>
          <w:szCs w:val="22"/>
        </w:rPr>
      </w:pPr>
      <w:r w:rsidRPr="00F42D3B">
        <w:rPr>
          <w:rFonts w:eastAsia="Calibri"/>
          <w:color w:val="000000"/>
          <w:sz w:val="22"/>
          <w:szCs w:val="22"/>
        </w:rPr>
        <w:t xml:space="preserve">As defined in Rule 62-210.200(189)(a)1, F.A.C., </w:t>
      </w:r>
      <w:r w:rsidRPr="00F42D3B">
        <w:rPr>
          <w:color w:val="000000"/>
          <w:sz w:val="22"/>
          <w:szCs w:val="22"/>
        </w:rPr>
        <w:t>a stationary source is a “major stationary source” (major PSD source) if it emits or has the potential to emit (PTE):</w:t>
      </w:r>
    </w:p>
    <w:p w:rsidR="00F42D3B" w:rsidRPr="00F42D3B" w:rsidRDefault="00F42D3B" w:rsidP="000E68D7">
      <w:pPr>
        <w:numPr>
          <w:ilvl w:val="0"/>
          <w:numId w:val="5"/>
        </w:numPr>
        <w:autoSpaceDE w:val="0"/>
        <w:autoSpaceDN w:val="0"/>
        <w:adjustRightInd w:val="0"/>
        <w:spacing w:after="60"/>
        <w:rPr>
          <w:rFonts w:eastAsia="Calibri"/>
          <w:color w:val="000000"/>
          <w:sz w:val="22"/>
          <w:szCs w:val="22"/>
        </w:rPr>
      </w:pPr>
      <w:r w:rsidRPr="00F42D3B">
        <w:rPr>
          <w:color w:val="000000"/>
          <w:sz w:val="22"/>
          <w:szCs w:val="22"/>
        </w:rPr>
        <w:t xml:space="preserve">250 tons per year (TPY) or more of any PSD pollutant; </w:t>
      </w:r>
      <w:r w:rsidRPr="00F42D3B">
        <w:rPr>
          <w:color w:val="000000"/>
          <w:sz w:val="22"/>
          <w:szCs w:val="22"/>
          <w:u w:val="single"/>
        </w:rPr>
        <w:t>or</w:t>
      </w:r>
      <w:r w:rsidRPr="00F42D3B">
        <w:rPr>
          <w:color w:val="000000"/>
          <w:sz w:val="22"/>
          <w:szCs w:val="22"/>
        </w:rPr>
        <w:t xml:space="preserve"> </w:t>
      </w:r>
    </w:p>
    <w:p w:rsidR="00F42D3B" w:rsidRPr="00F42D3B" w:rsidRDefault="00F42D3B" w:rsidP="001F0774">
      <w:pPr>
        <w:numPr>
          <w:ilvl w:val="0"/>
          <w:numId w:val="5"/>
        </w:numPr>
        <w:autoSpaceDE w:val="0"/>
        <w:autoSpaceDN w:val="0"/>
        <w:adjustRightInd w:val="0"/>
        <w:spacing w:after="60"/>
        <w:rPr>
          <w:rFonts w:eastAsia="Calibri"/>
          <w:color w:val="000000"/>
          <w:sz w:val="22"/>
          <w:szCs w:val="22"/>
        </w:rPr>
      </w:pPr>
      <w:r w:rsidRPr="00F42D3B">
        <w:rPr>
          <w:color w:val="000000"/>
          <w:sz w:val="22"/>
          <w:szCs w:val="22"/>
        </w:rPr>
        <w:t xml:space="preserve">100 TPY or more of any PSD pollutant </w:t>
      </w:r>
      <w:r w:rsidRPr="00F42D3B">
        <w:rPr>
          <w:color w:val="000000"/>
          <w:sz w:val="22"/>
          <w:szCs w:val="22"/>
          <w:u w:val="single"/>
        </w:rPr>
        <w:t>and</w:t>
      </w:r>
      <w:r w:rsidRPr="00F42D3B">
        <w:rPr>
          <w:color w:val="000000"/>
          <w:sz w:val="22"/>
          <w:szCs w:val="22"/>
        </w:rPr>
        <w:t xml:space="preserve"> the facility belongs to one of the 28 listed PSD major facility categories.  </w:t>
      </w:r>
    </w:p>
    <w:p w:rsidR="00F42D3B" w:rsidRPr="00F42D3B" w:rsidRDefault="00F42D3B" w:rsidP="00F42D3B">
      <w:pPr>
        <w:widowControl w:val="0"/>
        <w:spacing w:after="120"/>
        <w:rPr>
          <w:rFonts w:eastAsia="Calibri"/>
          <w:sz w:val="22"/>
          <w:szCs w:val="22"/>
        </w:rPr>
      </w:pPr>
      <w:r w:rsidRPr="00F42D3B">
        <w:rPr>
          <w:rFonts w:eastAsia="Calibri"/>
          <w:sz w:val="22"/>
          <w:szCs w:val="22"/>
        </w:rPr>
        <w:t xml:space="preserve">The list given in the citation includes the category of </w:t>
      </w:r>
      <w:r w:rsidRPr="00F42D3B">
        <w:rPr>
          <w:rFonts w:eastAsia="Calibri"/>
          <w:i/>
          <w:sz w:val="22"/>
          <w:szCs w:val="22"/>
        </w:rPr>
        <w:t>“fossil fuel-fired steam electric plants of more than 250 million British thermal units per hour heat input”</w:t>
      </w:r>
      <w:r w:rsidRPr="00F42D3B">
        <w:rPr>
          <w:rFonts w:eastAsia="Calibri"/>
          <w:sz w:val="22"/>
          <w:szCs w:val="22"/>
        </w:rPr>
        <w:t xml:space="preserve">.  The </w:t>
      </w:r>
      <w:r w:rsidR="00C53B94">
        <w:rPr>
          <w:rFonts w:eastAsia="Calibri"/>
          <w:sz w:val="22"/>
          <w:szCs w:val="22"/>
        </w:rPr>
        <w:t>SHGS</w:t>
      </w:r>
      <w:r w:rsidRPr="00F42D3B">
        <w:rPr>
          <w:rFonts w:eastAsia="Calibri"/>
          <w:sz w:val="22"/>
          <w:szCs w:val="22"/>
        </w:rPr>
        <w:t xml:space="preserve"> is a major stationary source because it meets this definition and will emit, or has the PTE, 100 TPY or more of any PSD pollutant</w:t>
      </w:r>
      <w:r w:rsidR="00621A27">
        <w:rPr>
          <w:rFonts w:eastAsia="Calibri"/>
          <w:sz w:val="22"/>
          <w:szCs w:val="22"/>
        </w:rPr>
        <w:t>.</w:t>
      </w:r>
      <w:r w:rsidR="001F25CE">
        <w:rPr>
          <w:rFonts w:eastAsia="Calibri"/>
          <w:sz w:val="22"/>
          <w:szCs w:val="22"/>
        </w:rPr>
        <w:t xml:space="preserve">  </w:t>
      </w:r>
    </w:p>
    <w:p w:rsidR="00F42D3B" w:rsidRPr="00F42D3B" w:rsidRDefault="00F42D3B" w:rsidP="00F42D3B">
      <w:pPr>
        <w:widowControl w:val="0"/>
        <w:spacing w:after="120"/>
        <w:rPr>
          <w:rFonts w:eastAsia="Calibri"/>
          <w:sz w:val="22"/>
          <w:szCs w:val="22"/>
        </w:rPr>
      </w:pPr>
      <w:r w:rsidRPr="00F42D3B">
        <w:rPr>
          <w:rFonts w:eastAsia="Calibri"/>
          <w:sz w:val="22"/>
          <w:szCs w:val="22"/>
        </w:rPr>
        <w:t xml:space="preserve">PSD applicability for a “modification” to an existing major stationary source is based on thresholds known as the significant emission rates (SER) as defined in Rule 62-210.200(282), F.A.C.  Any </w:t>
      </w:r>
      <w:r w:rsidRPr="00F42D3B">
        <w:rPr>
          <w:rFonts w:eastAsia="Calibri"/>
          <w:i/>
          <w:sz w:val="22"/>
          <w:szCs w:val="22"/>
        </w:rPr>
        <w:t>“net emissions increase”</w:t>
      </w:r>
      <w:r w:rsidRPr="00F42D3B">
        <w:rPr>
          <w:rFonts w:eastAsia="Calibri"/>
          <w:sz w:val="22"/>
          <w:szCs w:val="22"/>
        </w:rPr>
        <w:t xml:space="preserve"> as defined in Rule 62-210.200(210), F.A.C. of a PSD pollutant from the project that equals or exceeds the respective SER is considered </w:t>
      </w:r>
      <w:r w:rsidRPr="00F42D3B">
        <w:rPr>
          <w:rFonts w:eastAsia="Calibri"/>
          <w:i/>
          <w:sz w:val="22"/>
          <w:szCs w:val="22"/>
        </w:rPr>
        <w:t>“significant.”</w:t>
      </w:r>
      <w:r w:rsidRPr="00F42D3B">
        <w:rPr>
          <w:rFonts w:eastAsia="Calibri"/>
          <w:sz w:val="22"/>
          <w:szCs w:val="22"/>
        </w:rPr>
        <w:t xml:space="preserve">  SER also means any emissions rate or any net emissions increase of a PSD pollutant associated with a major stationary source or major modification which would construct within 10 km of a Class I area and have an impact on such area equal to or greater than 1 gram per cubic meter, 24-hour average.  </w:t>
      </w:r>
      <w:r w:rsidR="001F25CE">
        <w:rPr>
          <w:rFonts w:eastAsia="Calibri"/>
          <w:sz w:val="22"/>
          <w:szCs w:val="22"/>
        </w:rPr>
        <w:t xml:space="preserve">Pursuant to Rule </w:t>
      </w:r>
      <w:r w:rsidR="001F25CE" w:rsidRPr="001F25CE">
        <w:rPr>
          <w:rFonts w:eastAsia="Calibri"/>
          <w:sz w:val="22"/>
          <w:szCs w:val="22"/>
        </w:rPr>
        <w:t>62-210.200(</w:t>
      </w:r>
      <w:r w:rsidR="001F25CE">
        <w:rPr>
          <w:rFonts w:eastAsia="Calibri"/>
          <w:sz w:val="22"/>
          <w:szCs w:val="22"/>
        </w:rPr>
        <w:t>121</w:t>
      </w:r>
      <w:r w:rsidR="001F25CE" w:rsidRPr="001F25CE">
        <w:rPr>
          <w:rFonts w:eastAsia="Calibri"/>
          <w:sz w:val="22"/>
          <w:szCs w:val="22"/>
        </w:rPr>
        <w:t>), F.A.C</w:t>
      </w:r>
      <w:r w:rsidR="001F25CE">
        <w:rPr>
          <w:rFonts w:eastAsia="Calibri"/>
          <w:sz w:val="22"/>
          <w:szCs w:val="22"/>
        </w:rPr>
        <w:t>., the SHGS and SHCCF are c</w:t>
      </w:r>
      <w:r w:rsidR="00967D59">
        <w:rPr>
          <w:rFonts w:eastAsia="Calibri"/>
          <w:sz w:val="22"/>
          <w:szCs w:val="22"/>
        </w:rPr>
        <w:t>onsidered to be one facility,</w:t>
      </w:r>
      <w:r w:rsidR="001F25CE">
        <w:rPr>
          <w:rFonts w:eastAsia="Calibri"/>
          <w:sz w:val="22"/>
          <w:szCs w:val="22"/>
        </w:rPr>
        <w:t xml:space="preserve"> therefore, the PSD analysis and HAP aggregation is collectively assessed</w:t>
      </w:r>
      <w:r w:rsidR="00967D59">
        <w:rPr>
          <w:rFonts w:eastAsia="Calibri"/>
          <w:sz w:val="22"/>
          <w:szCs w:val="22"/>
        </w:rPr>
        <w:t xml:space="preserve"> for this project</w:t>
      </w:r>
      <w:r w:rsidR="001F25CE">
        <w:rPr>
          <w:rFonts w:eastAsia="Calibri"/>
          <w:sz w:val="22"/>
          <w:szCs w:val="22"/>
        </w:rPr>
        <w:t xml:space="preserve">.  The SHCCF has been assigned a new facility identification number for ease of separation due to </w:t>
      </w:r>
      <w:r w:rsidR="00967D59">
        <w:rPr>
          <w:rFonts w:eastAsia="Calibri"/>
          <w:sz w:val="22"/>
          <w:szCs w:val="22"/>
        </w:rPr>
        <w:t>the possibility of</w:t>
      </w:r>
      <w:r w:rsidR="001F25CE">
        <w:rPr>
          <w:rFonts w:eastAsia="Calibri"/>
          <w:sz w:val="22"/>
          <w:szCs w:val="22"/>
        </w:rPr>
        <w:t xml:space="preserve"> new ownership in </w:t>
      </w:r>
      <w:r w:rsidR="004F6299">
        <w:rPr>
          <w:rFonts w:eastAsia="Calibri"/>
          <w:sz w:val="22"/>
          <w:szCs w:val="22"/>
        </w:rPr>
        <w:t>the near</w:t>
      </w:r>
      <w:r w:rsidR="001F25CE">
        <w:rPr>
          <w:rFonts w:eastAsia="Calibri"/>
          <w:sz w:val="22"/>
          <w:szCs w:val="22"/>
        </w:rPr>
        <w:t xml:space="preserve"> future.</w:t>
      </w:r>
    </w:p>
    <w:p w:rsidR="00F42D3B" w:rsidRPr="00F42D3B" w:rsidRDefault="00F42D3B" w:rsidP="00F42D3B">
      <w:pPr>
        <w:widowControl w:val="0"/>
        <w:spacing w:after="120"/>
        <w:rPr>
          <w:rFonts w:eastAsia="Calibri"/>
          <w:sz w:val="22"/>
          <w:szCs w:val="22"/>
        </w:rPr>
      </w:pPr>
      <w:r w:rsidRPr="00F42D3B">
        <w:rPr>
          <w:rFonts w:eastAsia="Calibri"/>
          <w:sz w:val="22"/>
          <w:szCs w:val="22"/>
        </w:rPr>
        <w:t>Although a facility may be “major” (i.e. emits or has the PTE 100 or 250 TPY as applicable) for only one PSD pollutant, a pro</w:t>
      </w:r>
      <w:r w:rsidRPr="001F25CE">
        <w:rPr>
          <w:rFonts w:eastAsia="Calibri"/>
          <w:sz w:val="22"/>
          <w:szCs w:val="22"/>
        </w:rPr>
        <w:t xml:space="preserve">ject is subject to PSD review for any PSD pollutant that exceeds the corresponding SER given in </w:t>
      </w:r>
      <w:r w:rsidRPr="001F25CE">
        <w:rPr>
          <w:b/>
          <w:sz w:val="22"/>
          <w:szCs w:val="22"/>
        </w:rPr>
        <w:fldChar w:fldCharType="begin"/>
      </w:r>
      <w:r w:rsidRPr="001F25CE">
        <w:rPr>
          <w:b/>
          <w:sz w:val="22"/>
          <w:szCs w:val="22"/>
        </w:rPr>
        <w:instrText xml:space="preserve"> REF _Ref367970333 \h  \* MERGEFORMAT </w:instrText>
      </w:r>
      <w:r w:rsidRPr="001F25CE">
        <w:rPr>
          <w:b/>
          <w:sz w:val="22"/>
          <w:szCs w:val="22"/>
        </w:rPr>
      </w:r>
      <w:r w:rsidRPr="001F25CE">
        <w:rPr>
          <w:b/>
          <w:sz w:val="22"/>
          <w:szCs w:val="22"/>
        </w:rPr>
        <w:fldChar w:fldCharType="separate"/>
      </w:r>
      <w:r w:rsidR="003E3FA4" w:rsidRPr="001F25CE">
        <w:rPr>
          <w:b/>
          <w:color w:val="000000"/>
          <w:sz w:val="22"/>
          <w:szCs w:val="22"/>
        </w:rPr>
        <w:t>Table 3</w:t>
      </w:r>
      <w:r w:rsidRPr="001F25CE">
        <w:rPr>
          <w:b/>
          <w:sz w:val="22"/>
          <w:szCs w:val="22"/>
        </w:rPr>
        <w:fldChar w:fldCharType="end"/>
      </w:r>
      <w:r w:rsidRPr="001F25CE">
        <w:rPr>
          <w:rFonts w:eastAsia="Calibri"/>
          <w:sz w:val="22"/>
          <w:szCs w:val="22"/>
        </w:rPr>
        <w:t>.</w:t>
      </w:r>
      <w:r w:rsidR="00621A27" w:rsidRPr="001F25CE">
        <w:rPr>
          <w:rFonts w:eastAsia="Calibri"/>
          <w:sz w:val="22"/>
          <w:szCs w:val="22"/>
        </w:rPr>
        <w:t xml:space="preserve">  As already noted, the SHGS is already a major stationary</w:t>
      </w:r>
      <w:r w:rsidR="00F46717" w:rsidRPr="001F25CE">
        <w:rPr>
          <w:rFonts w:eastAsia="Calibri"/>
          <w:sz w:val="22"/>
          <w:szCs w:val="22"/>
        </w:rPr>
        <w:t xml:space="preserve"> source</w:t>
      </w:r>
      <w:r w:rsidR="00621A27" w:rsidRPr="001F25CE">
        <w:rPr>
          <w:rFonts w:eastAsia="Calibri"/>
          <w:sz w:val="22"/>
          <w:szCs w:val="22"/>
        </w:rPr>
        <w:t xml:space="preserve">.  Consequently, the </w:t>
      </w:r>
      <w:r w:rsidR="00F46717" w:rsidRPr="001F25CE">
        <w:rPr>
          <w:sz w:val="22"/>
          <w:szCs w:val="22"/>
        </w:rPr>
        <w:t>SHCCF</w:t>
      </w:r>
      <w:r w:rsidR="00621A27" w:rsidRPr="001F25CE">
        <w:rPr>
          <w:sz w:val="22"/>
          <w:szCs w:val="22"/>
        </w:rPr>
        <w:t xml:space="preserve"> (project) is subject to the PSD SERs</w:t>
      </w:r>
      <w:r w:rsidR="00621A27">
        <w:rPr>
          <w:rFonts w:eastAsia="Calibri"/>
          <w:sz w:val="22"/>
          <w:szCs w:val="22"/>
        </w:rPr>
        <w:t>.</w:t>
      </w:r>
    </w:p>
    <w:p w:rsidR="00F42D3B" w:rsidRPr="00F42D3B" w:rsidRDefault="00F42D3B" w:rsidP="00F42D3B">
      <w:pPr>
        <w:widowControl w:val="0"/>
        <w:spacing w:after="120"/>
        <w:jc w:val="center"/>
        <w:rPr>
          <w:rFonts w:eastAsia="Calibri"/>
          <w:sz w:val="22"/>
          <w:szCs w:val="22"/>
        </w:rPr>
      </w:pPr>
      <w:bookmarkStart w:id="13" w:name="_Ref367970333"/>
      <w:r w:rsidRPr="00F42D3B">
        <w:rPr>
          <w:rFonts w:ascii="Times New Roman Bold" w:hAnsi="Times New Roman Bold"/>
          <w:caps/>
          <w:color w:val="000000"/>
          <w:sz w:val="22"/>
          <w:szCs w:val="22"/>
        </w:rPr>
        <w:t xml:space="preserve">Table </w:t>
      </w:r>
      <w:r w:rsidRPr="00F42D3B">
        <w:fldChar w:fldCharType="begin"/>
      </w:r>
      <w:r w:rsidRPr="00F42D3B">
        <w:rPr>
          <w:rFonts w:ascii="Times New Roman Bold" w:hAnsi="Times New Roman Bold"/>
          <w:caps/>
          <w:color w:val="000000"/>
          <w:sz w:val="22"/>
          <w:szCs w:val="22"/>
        </w:rPr>
        <w:instrText xml:space="preserve"> SEQ Table \* ARABIC </w:instrText>
      </w:r>
      <w:r w:rsidRPr="00F42D3B">
        <w:fldChar w:fldCharType="separate"/>
      </w:r>
      <w:r w:rsidR="007204D0">
        <w:rPr>
          <w:rFonts w:ascii="Times New Roman Bold" w:hAnsi="Times New Roman Bold"/>
          <w:caps/>
          <w:noProof/>
          <w:color w:val="000000"/>
          <w:sz w:val="22"/>
          <w:szCs w:val="22"/>
        </w:rPr>
        <w:t>3</w:t>
      </w:r>
      <w:r w:rsidRPr="00F42D3B">
        <w:fldChar w:fldCharType="end"/>
      </w:r>
      <w:bookmarkEnd w:id="13"/>
      <w:r w:rsidR="00553525" w:rsidRPr="001D113D">
        <w:rPr>
          <w:rFonts w:ascii="Times New Roman Bold" w:hAnsi="Times New Roman Bold"/>
        </w:rPr>
        <w:t xml:space="preserve"> - </w:t>
      </w:r>
      <w:r w:rsidRPr="00F42D3B">
        <w:rPr>
          <w:rFonts w:ascii="Times New Roman Bold" w:hAnsi="Times New Roman Bold"/>
          <w:caps/>
          <w:color w:val="000000"/>
          <w:sz w:val="22"/>
          <w:szCs w:val="22"/>
        </w:rPr>
        <w:t xml:space="preserve">List of Significant Emissions Rates. </w:t>
      </w:r>
      <w:r w:rsidRPr="00F42D3B">
        <w:rPr>
          <w:rFonts w:ascii="Times New Roman Bold" w:hAnsi="Times New Roman Bold"/>
          <w:color w:val="000000"/>
          <w:sz w:val="22"/>
          <w:szCs w:val="22"/>
          <w:vertAlign w:val="superscript"/>
        </w:rPr>
        <w:t>a</w:t>
      </w:r>
    </w:p>
    <w:tbl>
      <w:tblPr>
        <w:tblW w:w="9930"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4A0" w:firstRow="1" w:lastRow="0" w:firstColumn="1" w:lastColumn="0" w:noHBand="0" w:noVBand="1"/>
      </w:tblPr>
      <w:tblGrid>
        <w:gridCol w:w="2332"/>
        <w:gridCol w:w="2692"/>
        <w:gridCol w:w="1852"/>
        <w:gridCol w:w="3054"/>
      </w:tblGrid>
      <w:tr w:rsidR="00F42D3B" w:rsidRPr="00F42D3B" w:rsidTr="001F0774">
        <w:trPr>
          <w:trHeight w:val="106"/>
          <w:jc w:val="center"/>
        </w:trPr>
        <w:tc>
          <w:tcPr>
            <w:tcW w:w="2332" w:type="dxa"/>
            <w:tcBorders>
              <w:top w:val="single" w:sz="12" w:space="0" w:color="auto"/>
              <w:left w:val="single" w:sz="12" w:space="0" w:color="auto"/>
              <w:bottom w:val="single" w:sz="12" w:space="0" w:color="auto"/>
              <w:right w:val="single" w:sz="6" w:space="0" w:color="auto"/>
            </w:tcBorders>
            <w:shd w:val="clear" w:color="auto" w:fill="B8CCE4"/>
            <w:vAlign w:val="center"/>
            <w:hideMark/>
          </w:tcPr>
          <w:p w:rsidR="00F42D3B" w:rsidRPr="00F42D3B" w:rsidRDefault="00F42D3B" w:rsidP="00F42D3B">
            <w:pPr>
              <w:autoSpaceDE w:val="0"/>
              <w:autoSpaceDN w:val="0"/>
              <w:adjustRightInd w:val="0"/>
              <w:spacing w:before="20" w:after="20"/>
              <w:jc w:val="center"/>
              <w:rPr>
                <w:b/>
                <w:color w:val="000000"/>
              </w:rPr>
            </w:pPr>
            <w:r w:rsidRPr="00F42D3B">
              <w:rPr>
                <w:b/>
                <w:color w:val="000000"/>
              </w:rPr>
              <w:t>Pollutant</w:t>
            </w:r>
          </w:p>
        </w:tc>
        <w:tc>
          <w:tcPr>
            <w:tcW w:w="2692" w:type="dxa"/>
            <w:tcBorders>
              <w:top w:val="single" w:sz="12" w:space="0" w:color="auto"/>
              <w:left w:val="single" w:sz="6" w:space="0" w:color="auto"/>
              <w:bottom w:val="single" w:sz="12" w:space="0" w:color="auto"/>
              <w:right w:val="single" w:sz="6" w:space="0" w:color="auto"/>
            </w:tcBorders>
            <w:shd w:val="clear" w:color="auto" w:fill="B8CCE4"/>
            <w:vAlign w:val="center"/>
            <w:hideMark/>
          </w:tcPr>
          <w:p w:rsidR="00F42D3B" w:rsidRPr="00F42D3B" w:rsidRDefault="00F42D3B" w:rsidP="00F42D3B">
            <w:pPr>
              <w:autoSpaceDE w:val="0"/>
              <w:autoSpaceDN w:val="0"/>
              <w:adjustRightInd w:val="0"/>
              <w:spacing w:before="20" w:after="20"/>
              <w:jc w:val="center"/>
              <w:rPr>
                <w:b/>
                <w:color w:val="000000"/>
              </w:rPr>
            </w:pPr>
            <w:r w:rsidRPr="00F42D3B">
              <w:rPr>
                <w:b/>
                <w:color w:val="000000"/>
              </w:rPr>
              <w:t>SER (TPY)</w:t>
            </w:r>
          </w:p>
        </w:tc>
        <w:tc>
          <w:tcPr>
            <w:tcW w:w="1852" w:type="dxa"/>
            <w:tcBorders>
              <w:top w:val="single" w:sz="12" w:space="0" w:color="auto"/>
              <w:left w:val="single" w:sz="6" w:space="0" w:color="auto"/>
              <w:bottom w:val="single" w:sz="12" w:space="0" w:color="auto"/>
              <w:right w:val="single" w:sz="6" w:space="0" w:color="auto"/>
            </w:tcBorders>
            <w:shd w:val="clear" w:color="auto" w:fill="B8CCE4"/>
            <w:vAlign w:val="center"/>
            <w:hideMark/>
          </w:tcPr>
          <w:p w:rsidR="00F42D3B" w:rsidRPr="00F42D3B" w:rsidRDefault="00F42D3B" w:rsidP="00F42D3B">
            <w:pPr>
              <w:autoSpaceDE w:val="0"/>
              <w:autoSpaceDN w:val="0"/>
              <w:adjustRightInd w:val="0"/>
              <w:spacing w:before="20" w:after="20"/>
              <w:jc w:val="center"/>
              <w:rPr>
                <w:b/>
                <w:color w:val="000000"/>
              </w:rPr>
            </w:pPr>
            <w:r w:rsidRPr="00F42D3B">
              <w:rPr>
                <w:b/>
                <w:color w:val="000000"/>
              </w:rPr>
              <w:t>Pollutant</w:t>
            </w:r>
          </w:p>
        </w:tc>
        <w:tc>
          <w:tcPr>
            <w:tcW w:w="3054" w:type="dxa"/>
            <w:tcBorders>
              <w:top w:val="single" w:sz="12" w:space="0" w:color="auto"/>
              <w:left w:val="single" w:sz="6" w:space="0" w:color="auto"/>
              <w:bottom w:val="single" w:sz="12" w:space="0" w:color="auto"/>
              <w:right w:val="single" w:sz="12" w:space="0" w:color="auto"/>
            </w:tcBorders>
            <w:shd w:val="clear" w:color="auto" w:fill="B8CCE4"/>
            <w:vAlign w:val="center"/>
            <w:hideMark/>
          </w:tcPr>
          <w:p w:rsidR="00F42D3B" w:rsidRPr="00F42D3B" w:rsidRDefault="00F42D3B" w:rsidP="00F42D3B">
            <w:pPr>
              <w:autoSpaceDE w:val="0"/>
              <w:autoSpaceDN w:val="0"/>
              <w:adjustRightInd w:val="0"/>
              <w:spacing w:before="20" w:after="20"/>
              <w:jc w:val="center"/>
              <w:rPr>
                <w:b/>
                <w:color w:val="000000"/>
              </w:rPr>
            </w:pPr>
            <w:r w:rsidRPr="00F42D3B">
              <w:rPr>
                <w:b/>
                <w:color w:val="000000"/>
              </w:rPr>
              <w:t>SER (TPY)</w:t>
            </w:r>
          </w:p>
        </w:tc>
      </w:tr>
      <w:tr w:rsidR="00F42D3B" w:rsidRPr="00F42D3B" w:rsidTr="001F0774">
        <w:trPr>
          <w:trHeight w:val="264"/>
          <w:jc w:val="center"/>
        </w:trPr>
        <w:tc>
          <w:tcPr>
            <w:tcW w:w="2332" w:type="dxa"/>
            <w:tcBorders>
              <w:top w:val="single" w:sz="12" w:space="0" w:color="auto"/>
              <w:left w:val="single" w:sz="12"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CO</w:t>
            </w:r>
          </w:p>
        </w:tc>
        <w:tc>
          <w:tcPr>
            <w:tcW w:w="2692" w:type="dxa"/>
            <w:tcBorders>
              <w:top w:val="single" w:sz="12" w:space="0" w:color="auto"/>
              <w:left w:val="single" w:sz="6" w:space="0" w:color="auto"/>
              <w:bottom w:val="single" w:sz="6"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100</w:t>
            </w:r>
          </w:p>
        </w:tc>
        <w:tc>
          <w:tcPr>
            <w:tcW w:w="1852" w:type="dxa"/>
            <w:tcBorders>
              <w:top w:val="single" w:sz="12" w:space="0" w:color="auto"/>
              <w:left w:val="single" w:sz="6"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NO</w:t>
            </w:r>
            <w:r w:rsidRPr="00F42D3B">
              <w:rPr>
                <w:color w:val="000000"/>
                <w:sz w:val="22"/>
                <w:szCs w:val="22"/>
                <w:vertAlign w:val="subscript"/>
              </w:rPr>
              <w:t>X</w:t>
            </w:r>
          </w:p>
        </w:tc>
        <w:tc>
          <w:tcPr>
            <w:tcW w:w="3054" w:type="dxa"/>
            <w:tcBorders>
              <w:top w:val="single" w:sz="12" w:space="0" w:color="auto"/>
              <w:left w:val="single" w:sz="6" w:space="0" w:color="auto"/>
              <w:bottom w:val="single" w:sz="6"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r>
      <w:tr w:rsidR="00F42D3B" w:rsidRPr="00F42D3B" w:rsidTr="001F0774">
        <w:trPr>
          <w:trHeight w:val="264"/>
          <w:jc w:val="center"/>
        </w:trPr>
        <w:tc>
          <w:tcPr>
            <w:tcW w:w="2332" w:type="dxa"/>
            <w:tcBorders>
              <w:top w:val="single" w:sz="6" w:space="0" w:color="auto"/>
              <w:left w:val="single" w:sz="12"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PM/PM</w:t>
            </w:r>
            <w:r w:rsidRPr="00F42D3B">
              <w:rPr>
                <w:sz w:val="22"/>
                <w:szCs w:val="22"/>
                <w:vertAlign w:val="subscript"/>
              </w:rPr>
              <w:t>10</w:t>
            </w:r>
            <w:r w:rsidRPr="00F42D3B">
              <w:rPr>
                <w:color w:val="000000"/>
              </w:rPr>
              <w:t>/PM</w:t>
            </w:r>
            <w:r w:rsidRPr="00F42D3B">
              <w:rPr>
                <w:color w:val="000000"/>
                <w:vertAlign w:val="subscript"/>
              </w:rPr>
              <w:t>2.5</w:t>
            </w:r>
          </w:p>
        </w:tc>
        <w:tc>
          <w:tcPr>
            <w:tcW w:w="2692" w:type="dxa"/>
            <w:tcBorders>
              <w:top w:val="single" w:sz="6" w:space="0" w:color="auto"/>
              <w:left w:val="single" w:sz="6" w:space="0" w:color="auto"/>
              <w:bottom w:val="single" w:sz="6"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25/15/10</w:t>
            </w:r>
          </w:p>
        </w:tc>
        <w:tc>
          <w:tcPr>
            <w:tcW w:w="1852" w:type="dxa"/>
            <w:tcBorders>
              <w:top w:val="single" w:sz="6" w:space="0" w:color="auto"/>
              <w:left w:val="single" w:sz="6"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 xml:space="preserve">Ozone (VOC) </w:t>
            </w:r>
            <w:r w:rsidRPr="00F42D3B">
              <w:rPr>
                <w:b/>
                <w:color w:val="000000"/>
                <w:vertAlign w:val="superscript"/>
              </w:rPr>
              <w:t>b</w:t>
            </w:r>
          </w:p>
        </w:tc>
        <w:tc>
          <w:tcPr>
            <w:tcW w:w="3054" w:type="dxa"/>
            <w:tcBorders>
              <w:top w:val="single" w:sz="6" w:space="0" w:color="auto"/>
              <w:left w:val="single" w:sz="6" w:space="0" w:color="auto"/>
              <w:bottom w:val="single" w:sz="6"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r>
      <w:tr w:rsidR="00F42D3B" w:rsidRPr="00F42D3B" w:rsidTr="001F0774">
        <w:trPr>
          <w:trHeight w:val="264"/>
          <w:jc w:val="center"/>
        </w:trPr>
        <w:tc>
          <w:tcPr>
            <w:tcW w:w="2332" w:type="dxa"/>
            <w:tcBorders>
              <w:top w:val="single" w:sz="6" w:space="0" w:color="auto"/>
              <w:left w:val="single" w:sz="12"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PM</w:t>
            </w:r>
            <w:r w:rsidRPr="00F42D3B">
              <w:rPr>
                <w:color w:val="000000"/>
                <w:vertAlign w:val="subscript"/>
              </w:rPr>
              <w:t>2.5</w:t>
            </w:r>
            <w:r w:rsidRPr="00F42D3B">
              <w:rPr>
                <w:color w:val="000000"/>
              </w:rPr>
              <w:t xml:space="preserve"> (NO</w:t>
            </w:r>
            <w:r w:rsidRPr="00F42D3B">
              <w:rPr>
                <w:sz w:val="22"/>
                <w:szCs w:val="22"/>
                <w:vertAlign w:val="subscript"/>
              </w:rPr>
              <w:t>X</w:t>
            </w:r>
            <w:r w:rsidRPr="00F42D3B">
              <w:rPr>
                <w:color w:val="000000"/>
              </w:rPr>
              <w:t>)</w:t>
            </w:r>
          </w:p>
        </w:tc>
        <w:tc>
          <w:tcPr>
            <w:tcW w:w="2692" w:type="dxa"/>
            <w:tcBorders>
              <w:top w:val="single" w:sz="6" w:space="0" w:color="auto"/>
              <w:left w:val="single" w:sz="6" w:space="0" w:color="auto"/>
              <w:bottom w:val="single" w:sz="6"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c>
          <w:tcPr>
            <w:tcW w:w="1852" w:type="dxa"/>
            <w:tcBorders>
              <w:top w:val="single" w:sz="6" w:space="0" w:color="auto"/>
              <w:left w:val="single" w:sz="6"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PM</w:t>
            </w:r>
            <w:r w:rsidRPr="00F42D3B">
              <w:rPr>
                <w:color w:val="000000"/>
                <w:vertAlign w:val="subscript"/>
              </w:rPr>
              <w:t>2.5</w:t>
            </w:r>
            <w:r w:rsidRPr="00F42D3B">
              <w:rPr>
                <w:color w:val="000000"/>
              </w:rPr>
              <w:t xml:space="preserve"> (SO</w:t>
            </w:r>
            <w:r w:rsidRPr="00F42D3B">
              <w:rPr>
                <w:sz w:val="22"/>
                <w:szCs w:val="22"/>
                <w:vertAlign w:val="subscript"/>
              </w:rPr>
              <w:t>2</w:t>
            </w:r>
            <w:r w:rsidRPr="00F42D3B">
              <w:rPr>
                <w:color w:val="000000"/>
              </w:rPr>
              <w:t>)</w:t>
            </w:r>
          </w:p>
        </w:tc>
        <w:tc>
          <w:tcPr>
            <w:tcW w:w="3054" w:type="dxa"/>
            <w:tcBorders>
              <w:top w:val="single" w:sz="6" w:space="0" w:color="auto"/>
              <w:left w:val="single" w:sz="6" w:space="0" w:color="auto"/>
              <w:bottom w:val="single" w:sz="6"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r>
      <w:tr w:rsidR="00F42D3B" w:rsidRPr="00F42D3B" w:rsidTr="001F0774">
        <w:trPr>
          <w:trHeight w:val="246"/>
          <w:jc w:val="center"/>
        </w:trPr>
        <w:tc>
          <w:tcPr>
            <w:tcW w:w="2332" w:type="dxa"/>
            <w:tcBorders>
              <w:top w:val="single" w:sz="6" w:space="0" w:color="auto"/>
              <w:left w:val="single" w:sz="12"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Ozone (NO</w:t>
            </w:r>
            <w:r w:rsidRPr="00F42D3B">
              <w:rPr>
                <w:sz w:val="22"/>
                <w:szCs w:val="22"/>
                <w:vertAlign w:val="subscript"/>
              </w:rPr>
              <w:t>X</w:t>
            </w:r>
            <w:r w:rsidRPr="00F42D3B">
              <w:rPr>
                <w:color w:val="000000"/>
              </w:rPr>
              <w:t xml:space="preserve">) </w:t>
            </w:r>
            <w:r w:rsidRPr="00F42D3B">
              <w:rPr>
                <w:b/>
                <w:color w:val="000000"/>
                <w:vertAlign w:val="superscript"/>
              </w:rPr>
              <w:t>b</w:t>
            </w:r>
          </w:p>
        </w:tc>
        <w:tc>
          <w:tcPr>
            <w:tcW w:w="2692" w:type="dxa"/>
            <w:tcBorders>
              <w:top w:val="single" w:sz="6" w:space="0" w:color="auto"/>
              <w:left w:val="single" w:sz="6" w:space="0" w:color="auto"/>
              <w:bottom w:val="single" w:sz="6"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c>
          <w:tcPr>
            <w:tcW w:w="1852" w:type="dxa"/>
            <w:tcBorders>
              <w:top w:val="single" w:sz="6" w:space="0" w:color="auto"/>
              <w:left w:val="single" w:sz="6"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SAM</w:t>
            </w:r>
          </w:p>
        </w:tc>
        <w:tc>
          <w:tcPr>
            <w:tcW w:w="3054" w:type="dxa"/>
            <w:tcBorders>
              <w:top w:val="single" w:sz="6" w:space="0" w:color="auto"/>
              <w:left w:val="single" w:sz="6" w:space="0" w:color="auto"/>
              <w:bottom w:val="single" w:sz="6"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7</w:t>
            </w:r>
          </w:p>
        </w:tc>
      </w:tr>
      <w:tr w:rsidR="00F42D3B" w:rsidRPr="00F42D3B" w:rsidTr="001F0774">
        <w:trPr>
          <w:trHeight w:val="255"/>
          <w:jc w:val="center"/>
        </w:trPr>
        <w:tc>
          <w:tcPr>
            <w:tcW w:w="2332" w:type="dxa"/>
            <w:tcBorders>
              <w:top w:val="single" w:sz="6" w:space="0" w:color="auto"/>
              <w:left w:val="single" w:sz="12"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SO</w:t>
            </w:r>
            <w:r w:rsidRPr="00F42D3B">
              <w:rPr>
                <w:color w:val="000000"/>
                <w:sz w:val="22"/>
                <w:szCs w:val="22"/>
                <w:vertAlign w:val="subscript"/>
              </w:rPr>
              <w:t>2</w:t>
            </w:r>
          </w:p>
        </w:tc>
        <w:tc>
          <w:tcPr>
            <w:tcW w:w="2692" w:type="dxa"/>
            <w:tcBorders>
              <w:top w:val="single" w:sz="6" w:space="0" w:color="auto"/>
              <w:left w:val="single" w:sz="6" w:space="0" w:color="auto"/>
              <w:bottom w:val="single" w:sz="6"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40</w:t>
            </w:r>
          </w:p>
        </w:tc>
        <w:tc>
          <w:tcPr>
            <w:tcW w:w="1852" w:type="dxa"/>
            <w:tcBorders>
              <w:top w:val="single" w:sz="6" w:space="0" w:color="auto"/>
              <w:left w:val="single" w:sz="6" w:space="0" w:color="auto"/>
              <w:bottom w:val="single" w:sz="6"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Pb</w:t>
            </w:r>
          </w:p>
        </w:tc>
        <w:tc>
          <w:tcPr>
            <w:tcW w:w="3054" w:type="dxa"/>
            <w:tcBorders>
              <w:top w:val="single" w:sz="6" w:space="0" w:color="auto"/>
              <w:left w:val="single" w:sz="6" w:space="0" w:color="auto"/>
              <w:bottom w:val="single" w:sz="6"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0.6</w:t>
            </w:r>
          </w:p>
        </w:tc>
      </w:tr>
      <w:tr w:rsidR="00F42D3B" w:rsidRPr="00F42D3B" w:rsidTr="001F0774">
        <w:trPr>
          <w:trHeight w:val="255"/>
          <w:jc w:val="center"/>
        </w:trPr>
        <w:tc>
          <w:tcPr>
            <w:tcW w:w="2332" w:type="dxa"/>
            <w:tcBorders>
              <w:top w:val="single" w:sz="6" w:space="0" w:color="auto"/>
              <w:left w:val="single" w:sz="12" w:space="0" w:color="auto"/>
              <w:bottom w:val="single" w:sz="12"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Hg</w:t>
            </w:r>
          </w:p>
        </w:tc>
        <w:tc>
          <w:tcPr>
            <w:tcW w:w="2692" w:type="dxa"/>
            <w:tcBorders>
              <w:top w:val="single" w:sz="6" w:space="0" w:color="auto"/>
              <w:left w:val="single" w:sz="6" w:space="0" w:color="auto"/>
              <w:bottom w:val="single" w:sz="12" w:space="0" w:color="auto"/>
              <w:right w:val="single" w:sz="6"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 xml:space="preserve">0.1 </w:t>
            </w:r>
          </w:p>
        </w:tc>
        <w:tc>
          <w:tcPr>
            <w:tcW w:w="1852" w:type="dxa"/>
            <w:tcBorders>
              <w:top w:val="single" w:sz="6" w:space="0" w:color="auto"/>
              <w:left w:val="single" w:sz="6" w:space="0" w:color="auto"/>
              <w:bottom w:val="single" w:sz="12" w:space="0" w:color="auto"/>
              <w:right w:val="single" w:sz="6" w:space="0" w:color="auto"/>
            </w:tcBorders>
            <w:vAlign w:val="center"/>
            <w:hideMark/>
          </w:tcPr>
          <w:p w:rsidR="00F42D3B" w:rsidRPr="00F42D3B" w:rsidRDefault="00F42D3B" w:rsidP="00F42D3B">
            <w:pPr>
              <w:autoSpaceDE w:val="0"/>
              <w:autoSpaceDN w:val="0"/>
              <w:adjustRightInd w:val="0"/>
              <w:spacing w:before="20" w:after="20"/>
              <w:jc w:val="center"/>
              <w:rPr>
                <w:color w:val="000000"/>
              </w:rPr>
            </w:pPr>
            <w:r w:rsidRPr="00F42D3B">
              <w:rPr>
                <w:color w:val="000000"/>
              </w:rPr>
              <w:t>GHGs</w:t>
            </w:r>
          </w:p>
        </w:tc>
        <w:tc>
          <w:tcPr>
            <w:tcW w:w="3054" w:type="dxa"/>
            <w:tcBorders>
              <w:top w:val="single" w:sz="6" w:space="0" w:color="auto"/>
              <w:left w:val="single" w:sz="6" w:space="0" w:color="auto"/>
              <w:bottom w:val="single" w:sz="12" w:space="0" w:color="auto"/>
              <w:right w:val="single" w:sz="12" w:space="0" w:color="auto"/>
            </w:tcBorders>
            <w:shd w:val="clear" w:color="auto" w:fill="DAEEF3"/>
            <w:vAlign w:val="center"/>
            <w:hideMark/>
          </w:tcPr>
          <w:p w:rsidR="00F42D3B" w:rsidRPr="00F42D3B" w:rsidRDefault="00F42D3B" w:rsidP="00F42D3B">
            <w:pPr>
              <w:autoSpaceDE w:val="0"/>
              <w:autoSpaceDN w:val="0"/>
              <w:adjustRightInd w:val="0"/>
              <w:spacing w:before="20" w:after="20"/>
              <w:jc w:val="center"/>
              <w:rPr>
                <w:color w:val="000000"/>
                <w:vertAlign w:val="superscript"/>
              </w:rPr>
            </w:pPr>
            <w:r w:rsidRPr="00F42D3B">
              <w:rPr>
                <w:color w:val="000000"/>
              </w:rPr>
              <w:t>75,000 (CO</w:t>
            </w:r>
            <w:r w:rsidRPr="00F42D3B">
              <w:rPr>
                <w:color w:val="000000"/>
                <w:vertAlign w:val="subscript"/>
              </w:rPr>
              <w:t>2</w:t>
            </w:r>
            <w:r w:rsidRPr="00F42D3B">
              <w:rPr>
                <w:color w:val="000000"/>
              </w:rPr>
              <w:t xml:space="preserve">e) </w:t>
            </w:r>
            <w:r w:rsidRPr="00F42D3B">
              <w:rPr>
                <w:color w:val="000000"/>
                <w:vertAlign w:val="superscript"/>
              </w:rPr>
              <w:t>c</w:t>
            </w:r>
          </w:p>
        </w:tc>
      </w:tr>
      <w:tr w:rsidR="00F42D3B" w:rsidRPr="00F42D3B" w:rsidTr="001F25CE">
        <w:trPr>
          <w:trHeight w:val="432"/>
          <w:jc w:val="center"/>
        </w:trPr>
        <w:tc>
          <w:tcPr>
            <w:tcW w:w="9930" w:type="dxa"/>
            <w:gridSpan w:val="4"/>
            <w:tcBorders>
              <w:top w:val="single" w:sz="12" w:space="0" w:color="auto"/>
              <w:left w:val="single" w:sz="12" w:space="0" w:color="auto"/>
              <w:bottom w:val="single" w:sz="12" w:space="0" w:color="auto"/>
              <w:right w:val="single" w:sz="12" w:space="0" w:color="auto"/>
            </w:tcBorders>
            <w:vAlign w:val="center"/>
            <w:hideMark/>
          </w:tcPr>
          <w:p w:rsidR="00F42D3B" w:rsidRPr="00F42D3B" w:rsidRDefault="00F42D3B" w:rsidP="001F25CE">
            <w:pPr>
              <w:numPr>
                <w:ilvl w:val="0"/>
                <w:numId w:val="6"/>
              </w:numPr>
              <w:autoSpaceDE w:val="0"/>
              <w:autoSpaceDN w:val="0"/>
              <w:adjustRightInd w:val="0"/>
              <w:ind w:left="345" w:hanging="331"/>
              <w:rPr>
                <w:color w:val="000000"/>
                <w:sz w:val="16"/>
                <w:szCs w:val="16"/>
              </w:rPr>
            </w:pPr>
            <w:r w:rsidRPr="00F42D3B">
              <w:rPr>
                <w:color w:val="000000"/>
                <w:sz w:val="16"/>
                <w:szCs w:val="16"/>
              </w:rPr>
              <w:t>Excluding fluoride and pollutants specific to the Pulp and Paper industry, MWCs, MSW landfills.</w:t>
            </w:r>
          </w:p>
          <w:p w:rsidR="00F42D3B" w:rsidRPr="00F42D3B" w:rsidRDefault="00F42D3B" w:rsidP="002049B1">
            <w:pPr>
              <w:numPr>
                <w:ilvl w:val="0"/>
                <w:numId w:val="6"/>
              </w:numPr>
              <w:autoSpaceDE w:val="0"/>
              <w:autoSpaceDN w:val="0"/>
              <w:adjustRightInd w:val="0"/>
              <w:ind w:left="342" w:hanging="328"/>
              <w:rPr>
                <w:color w:val="000000"/>
                <w:sz w:val="16"/>
                <w:szCs w:val="16"/>
              </w:rPr>
            </w:pPr>
            <w:r w:rsidRPr="00F42D3B">
              <w:rPr>
                <w:color w:val="000000"/>
                <w:sz w:val="16"/>
                <w:szCs w:val="16"/>
              </w:rPr>
              <w:t>Ozone (O</w:t>
            </w:r>
            <w:r w:rsidRPr="00F42D3B">
              <w:rPr>
                <w:color w:val="000000"/>
                <w:sz w:val="16"/>
                <w:szCs w:val="16"/>
                <w:vertAlign w:val="subscript"/>
              </w:rPr>
              <w:t>3</w:t>
            </w:r>
            <w:r w:rsidRPr="00F42D3B">
              <w:rPr>
                <w:color w:val="000000"/>
                <w:sz w:val="16"/>
                <w:szCs w:val="16"/>
              </w:rPr>
              <w:t>) is regulated by its precursors (VOC and NO</w:t>
            </w:r>
            <w:r w:rsidRPr="00F42D3B">
              <w:rPr>
                <w:color w:val="000000"/>
                <w:sz w:val="16"/>
                <w:szCs w:val="16"/>
                <w:vertAlign w:val="subscript"/>
              </w:rPr>
              <w:t>X</w:t>
            </w:r>
            <w:r w:rsidRPr="00F42D3B">
              <w:rPr>
                <w:color w:val="000000"/>
                <w:sz w:val="16"/>
                <w:szCs w:val="16"/>
              </w:rPr>
              <w:t>).  PSD for PM</w:t>
            </w:r>
            <w:r w:rsidRPr="00F42D3B">
              <w:rPr>
                <w:color w:val="000000"/>
                <w:sz w:val="16"/>
                <w:szCs w:val="16"/>
                <w:vertAlign w:val="subscript"/>
              </w:rPr>
              <w:t>2.5</w:t>
            </w:r>
            <w:r w:rsidRPr="00F42D3B">
              <w:rPr>
                <w:color w:val="000000"/>
                <w:sz w:val="16"/>
                <w:szCs w:val="16"/>
              </w:rPr>
              <w:t xml:space="preserve"> can be triggered by its precursors (NO</w:t>
            </w:r>
            <w:r w:rsidRPr="00F42D3B">
              <w:rPr>
                <w:color w:val="000000"/>
                <w:sz w:val="16"/>
                <w:szCs w:val="16"/>
                <w:vertAlign w:val="subscript"/>
              </w:rPr>
              <w:t>X</w:t>
            </w:r>
            <w:r w:rsidRPr="00F42D3B">
              <w:rPr>
                <w:color w:val="000000"/>
                <w:sz w:val="16"/>
                <w:szCs w:val="16"/>
              </w:rPr>
              <w:t xml:space="preserve"> and SO</w:t>
            </w:r>
            <w:r w:rsidRPr="00F42D3B">
              <w:rPr>
                <w:color w:val="000000"/>
                <w:sz w:val="16"/>
                <w:szCs w:val="16"/>
                <w:vertAlign w:val="subscript"/>
              </w:rPr>
              <w:t>2</w:t>
            </w:r>
            <w:r w:rsidRPr="00F42D3B">
              <w:rPr>
                <w:color w:val="000000"/>
                <w:sz w:val="16"/>
                <w:szCs w:val="16"/>
              </w:rPr>
              <w:t>).</w:t>
            </w:r>
          </w:p>
          <w:p w:rsidR="00F42D3B" w:rsidRPr="00F42D3B" w:rsidRDefault="00F42D3B" w:rsidP="002049B1">
            <w:pPr>
              <w:numPr>
                <w:ilvl w:val="0"/>
                <w:numId w:val="6"/>
              </w:numPr>
              <w:autoSpaceDE w:val="0"/>
              <w:autoSpaceDN w:val="0"/>
              <w:adjustRightInd w:val="0"/>
              <w:spacing w:after="20"/>
              <w:ind w:left="345" w:hanging="331"/>
              <w:rPr>
                <w:color w:val="000000"/>
                <w:sz w:val="16"/>
                <w:szCs w:val="16"/>
              </w:rPr>
            </w:pPr>
            <w:r w:rsidRPr="00F42D3B">
              <w:rPr>
                <w:rFonts w:eastAsia="Calibri"/>
                <w:sz w:val="16"/>
                <w:szCs w:val="16"/>
              </w:rPr>
              <w:t>“CO</w:t>
            </w:r>
            <w:r w:rsidRPr="00F42D3B">
              <w:rPr>
                <w:rFonts w:eastAsia="Calibri"/>
                <w:sz w:val="16"/>
                <w:szCs w:val="16"/>
                <w:vertAlign w:val="subscript"/>
              </w:rPr>
              <w:t>2</w:t>
            </w:r>
            <w:r w:rsidRPr="00F42D3B">
              <w:rPr>
                <w:rFonts w:eastAsia="Calibri"/>
                <w:sz w:val="16"/>
                <w:szCs w:val="16"/>
              </w:rPr>
              <w:t>e” means carbon dioxide equivalents and refers to greenhouse gas (GHG) emissions.  The calculation of GHG emissions is defined</w:t>
            </w:r>
            <w:r w:rsidRPr="00F42D3B">
              <w:rPr>
                <w:sz w:val="16"/>
                <w:szCs w:val="16"/>
              </w:rPr>
              <w:t xml:space="preserve"> in 40 CFR 98, Subpart A, Table A-1.</w:t>
            </w:r>
          </w:p>
        </w:tc>
      </w:tr>
    </w:tbl>
    <w:p w:rsidR="001C5613" w:rsidRDefault="00F42D3B" w:rsidP="00F42D3B">
      <w:pPr>
        <w:spacing w:before="120" w:after="120"/>
        <w:rPr>
          <w:sz w:val="24"/>
          <w:szCs w:val="24"/>
        </w:rPr>
      </w:pPr>
      <w:r w:rsidRPr="00F42D3B">
        <w:rPr>
          <w:sz w:val="22"/>
        </w:rPr>
        <w:t>A source that triggers PSD review for a traditional PSD pollutant (listed above) also triggers a PSD review for GHG emissions if the source would emit or have the potential to emit 75,000 tons per year of GHGs on a CO</w:t>
      </w:r>
      <w:r w:rsidRPr="00F42D3B">
        <w:rPr>
          <w:sz w:val="22"/>
          <w:vertAlign w:val="subscript"/>
        </w:rPr>
        <w:t>2</w:t>
      </w:r>
      <w:r w:rsidRPr="00F42D3B">
        <w:rPr>
          <w:sz w:val="22"/>
        </w:rPr>
        <w:t xml:space="preserve">e </w:t>
      </w:r>
      <w:r w:rsidRPr="00F42D3B">
        <w:rPr>
          <w:sz w:val="22"/>
        </w:rPr>
        <w:lastRenderedPageBreak/>
        <w:t>basis.  Under this framework, a source cannot become subject to PSD review solely on the basis of GHG emissions.</w:t>
      </w:r>
      <w:r w:rsidRPr="00F42D3B">
        <w:rPr>
          <w:sz w:val="24"/>
          <w:szCs w:val="24"/>
        </w:rPr>
        <w:t xml:space="preserve"> </w:t>
      </w:r>
    </w:p>
    <w:p w:rsidR="002E3095" w:rsidRPr="001D113D" w:rsidRDefault="002E3095" w:rsidP="001D113D">
      <w:pPr>
        <w:pStyle w:val="ListParagraph"/>
        <w:widowControl w:val="0"/>
        <w:numPr>
          <w:ilvl w:val="1"/>
          <w:numId w:val="3"/>
        </w:numPr>
        <w:spacing w:after="120"/>
        <w:ind w:left="720" w:hanging="720"/>
        <w:contextualSpacing w:val="0"/>
        <w:rPr>
          <w:b/>
          <w:caps/>
          <w:sz w:val="22"/>
          <w:szCs w:val="22"/>
        </w:rPr>
      </w:pPr>
      <w:r w:rsidRPr="00290299">
        <w:rPr>
          <w:b/>
          <w:sz w:val="22"/>
          <w:szCs w:val="22"/>
        </w:rPr>
        <w:t>PSD Applicability for the Project</w:t>
      </w:r>
    </w:p>
    <w:p w:rsidR="00C10283" w:rsidRDefault="002E7375" w:rsidP="00C10283">
      <w:pPr>
        <w:pStyle w:val="BodyTextIndent"/>
        <w:widowControl w:val="0"/>
        <w:spacing w:before="120"/>
        <w:ind w:left="0"/>
      </w:pPr>
      <w:r>
        <w:rPr>
          <w:sz w:val="22"/>
          <w:szCs w:val="22"/>
        </w:rPr>
        <w:t xml:space="preserve">The </w:t>
      </w:r>
      <w:r w:rsidRPr="002E7375">
        <w:rPr>
          <w:szCs w:val="22"/>
        </w:rPr>
        <w:t xml:space="preserve">PTE for each </w:t>
      </w:r>
      <w:r>
        <w:rPr>
          <w:szCs w:val="22"/>
        </w:rPr>
        <w:t xml:space="preserve">new </w:t>
      </w:r>
      <w:r w:rsidRPr="002E7375">
        <w:rPr>
          <w:szCs w:val="22"/>
        </w:rPr>
        <w:t>emissions unit</w:t>
      </w:r>
      <w:r w:rsidR="00621A27">
        <w:rPr>
          <w:szCs w:val="22"/>
        </w:rPr>
        <w:t xml:space="preserve"> associated with this project</w:t>
      </w:r>
      <w:r w:rsidRPr="002E7375">
        <w:rPr>
          <w:szCs w:val="22"/>
        </w:rPr>
        <w:t xml:space="preserve"> is summarized in</w:t>
      </w:r>
      <w:r>
        <w:rPr>
          <w:szCs w:val="22"/>
        </w:rPr>
        <w:t xml:space="preserve"> </w:t>
      </w:r>
      <w:r w:rsidR="001D113D" w:rsidRPr="001D113D">
        <w:rPr>
          <w:rFonts w:ascii="Times New Roman Bold" w:hAnsi="Times New Roman Bold"/>
          <w:b/>
          <w:sz w:val="22"/>
          <w:szCs w:val="22"/>
        </w:rPr>
        <w:fldChar w:fldCharType="begin"/>
      </w:r>
      <w:r w:rsidR="001D113D" w:rsidRPr="001D113D">
        <w:rPr>
          <w:rFonts w:ascii="Times New Roman Bold" w:hAnsi="Times New Roman Bold"/>
          <w:b/>
          <w:sz w:val="22"/>
          <w:szCs w:val="22"/>
        </w:rPr>
        <w:instrText xml:space="preserve"> REF _Ref513616510 \h </w:instrText>
      </w:r>
      <w:r w:rsidR="001D113D">
        <w:rPr>
          <w:rFonts w:ascii="Times New Roman Bold" w:hAnsi="Times New Roman Bold"/>
          <w:b/>
          <w:sz w:val="22"/>
          <w:szCs w:val="22"/>
        </w:rPr>
        <w:instrText xml:space="preserve"> \* MERGEFORMAT </w:instrText>
      </w:r>
      <w:r w:rsidR="001D113D" w:rsidRPr="001D113D">
        <w:rPr>
          <w:rFonts w:ascii="Times New Roman Bold" w:hAnsi="Times New Roman Bold"/>
          <w:b/>
          <w:sz w:val="22"/>
          <w:szCs w:val="22"/>
        </w:rPr>
      </w:r>
      <w:r w:rsidR="001D113D" w:rsidRPr="001D113D">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4</w:t>
      </w:r>
      <w:r w:rsidR="001D113D" w:rsidRPr="001D113D">
        <w:rPr>
          <w:rFonts w:ascii="Times New Roman Bold" w:hAnsi="Times New Roman Bold"/>
          <w:b/>
          <w:sz w:val="22"/>
          <w:szCs w:val="22"/>
        </w:rPr>
        <w:fldChar w:fldCharType="end"/>
      </w:r>
      <w:r w:rsidRPr="002E7375">
        <w:rPr>
          <w:szCs w:val="22"/>
        </w:rPr>
        <w:t>.</w:t>
      </w:r>
    </w:p>
    <w:p w:rsidR="002E7375" w:rsidRPr="001D113D" w:rsidRDefault="001D113D" w:rsidP="001D113D">
      <w:pPr>
        <w:pStyle w:val="Caption"/>
        <w:spacing w:before="0"/>
        <w:jc w:val="center"/>
        <w:rPr>
          <w:rFonts w:ascii="Times New Roman Bold" w:hAnsi="Times New Roman Bold"/>
          <w:b w:val="0"/>
          <w:caps w:val="0"/>
        </w:rPr>
      </w:pPr>
      <w:bookmarkStart w:id="14" w:name="Tab5"/>
      <w:bookmarkStart w:id="15" w:name="_Ref513616510"/>
      <w:bookmarkEnd w:id="14"/>
      <w:r w:rsidRPr="001D113D">
        <w:rPr>
          <w:rFonts w:ascii="Times New Roman Bold" w:hAnsi="Times New Roman Bold"/>
        </w:rPr>
        <w:t xml:space="preserve">Table </w:t>
      </w:r>
      <w:r w:rsidRPr="001D113D">
        <w:rPr>
          <w:rFonts w:ascii="Times New Roman Bold" w:hAnsi="Times New Roman Bold"/>
        </w:rPr>
        <w:fldChar w:fldCharType="begin"/>
      </w:r>
      <w:r w:rsidRPr="001D113D">
        <w:rPr>
          <w:rFonts w:ascii="Times New Roman Bold" w:hAnsi="Times New Roman Bold"/>
        </w:rPr>
        <w:instrText xml:space="preserve"> SEQ Table \* ARABIC </w:instrText>
      </w:r>
      <w:r w:rsidRPr="001D113D">
        <w:rPr>
          <w:rFonts w:ascii="Times New Roman Bold" w:hAnsi="Times New Roman Bold"/>
        </w:rPr>
        <w:fldChar w:fldCharType="separate"/>
      </w:r>
      <w:r w:rsidR="007204D0">
        <w:rPr>
          <w:rFonts w:ascii="Times New Roman Bold" w:hAnsi="Times New Roman Bold"/>
          <w:noProof/>
        </w:rPr>
        <w:t>4</w:t>
      </w:r>
      <w:r w:rsidRPr="001D113D">
        <w:rPr>
          <w:rFonts w:ascii="Times New Roman Bold" w:hAnsi="Times New Roman Bold"/>
        </w:rPr>
        <w:fldChar w:fldCharType="end"/>
      </w:r>
      <w:bookmarkEnd w:id="15"/>
      <w:r w:rsidRPr="001D113D">
        <w:rPr>
          <w:rFonts w:ascii="Times New Roman Bold" w:hAnsi="Times New Roman Bold"/>
        </w:rPr>
        <w:t xml:space="preserve"> - </w:t>
      </w:r>
      <w:r w:rsidR="002E7375" w:rsidRPr="001D113D">
        <w:rPr>
          <w:rFonts w:ascii="Times New Roman Bold" w:hAnsi="Times New Roman Bold"/>
        </w:rPr>
        <w:t>PTE for individual emissions units (tpy).</w:t>
      </w:r>
    </w:p>
    <w:tbl>
      <w:tblPr>
        <w:tblW w:w="9345"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875"/>
        <w:gridCol w:w="1267"/>
        <w:gridCol w:w="1267"/>
        <w:gridCol w:w="1267"/>
        <w:gridCol w:w="1267"/>
        <w:gridCol w:w="1267"/>
        <w:gridCol w:w="1135"/>
      </w:tblGrid>
      <w:tr w:rsidR="00FD0E4F" w:rsidRPr="002E7375" w:rsidTr="00592812">
        <w:trPr>
          <w:trHeight w:val="123"/>
          <w:tblHeader/>
          <w:jc w:val="center"/>
        </w:trPr>
        <w:tc>
          <w:tcPr>
            <w:tcW w:w="1875" w:type="dxa"/>
            <w:vMerge w:val="restart"/>
            <w:tcBorders>
              <w:top w:val="single" w:sz="12" w:space="0" w:color="auto"/>
              <w:left w:val="single" w:sz="12"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spacing w:before="120" w:after="120"/>
              <w:jc w:val="center"/>
              <w:rPr>
                <w:b/>
              </w:rPr>
            </w:pPr>
            <w:r w:rsidRPr="002E7375">
              <w:rPr>
                <w:b/>
              </w:rPr>
              <w:t>Pollutant</w:t>
            </w:r>
          </w:p>
        </w:tc>
        <w:tc>
          <w:tcPr>
            <w:tcW w:w="7470" w:type="dxa"/>
            <w:gridSpan w:val="6"/>
            <w:tcBorders>
              <w:top w:val="single" w:sz="12" w:space="0" w:color="auto"/>
              <w:left w:val="single" w:sz="8" w:space="0" w:color="auto"/>
              <w:bottom w:val="single" w:sz="8" w:space="0" w:color="auto"/>
              <w:right w:val="single" w:sz="12" w:space="0" w:color="auto"/>
            </w:tcBorders>
            <w:shd w:val="clear" w:color="auto" w:fill="B8CCE4"/>
            <w:vAlign w:val="center"/>
            <w:hideMark/>
          </w:tcPr>
          <w:p w:rsidR="00FD0E4F" w:rsidRPr="002E7375" w:rsidRDefault="00FD0E4F" w:rsidP="002E7375">
            <w:pPr>
              <w:widowControl w:val="0"/>
              <w:jc w:val="center"/>
              <w:rPr>
                <w:b/>
              </w:rPr>
            </w:pPr>
            <w:r w:rsidRPr="002E7375">
              <w:rPr>
                <w:b/>
              </w:rPr>
              <w:t>Emissions Unit</w:t>
            </w:r>
          </w:p>
        </w:tc>
      </w:tr>
      <w:tr w:rsidR="00FD0E4F" w:rsidRPr="002E7375" w:rsidTr="00592812">
        <w:trPr>
          <w:trHeight w:val="330"/>
          <w:tblHeader/>
          <w:jc w:val="center"/>
        </w:trPr>
        <w:tc>
          <w:tcPr>
            <w:tcW w:w="1875" w:type="dxa"/>
            <w:vMerge/>
            <w:tcBorders>
              <w:top w:val="single" w:sz="12" w:space="0" w:color="auto"/>
              <w:left w:val="single" w:sz="12" w:space="0" w:color="auto"/>
              <w:bottom w:val="single" w:sz="12" w:space="0" w:color="auto"/>
              <w:right w:val="single" w:sz="8" w:space="0" w:color="auto"/>
            </w:tcBorders>
            <w:vAlign w:val="center"/>
            <w:hideMark/>
          </w:tcPr>
          <w:p w:rsidR="00FD0E4F" w:rsidRPr="002E7375" w:rsidRDefault="00FD0E4F" w:rsidP="002E7375">
            <w:pPr>
              <w:rPr>
                <w:b/>
              </w:rPr>
            </w:pPr>
          </w:p>
        </w:tc>
        <w:tc>
          <w:tcPr>
            <w:tcW w:w="1267" w:type="dxa"/>
            <w:tcBorders>
              <w:top w:val="single" w:sz="8" w:space="0" w:color="auto"/>
              <w:left w:val="single" w:sz="8"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jc w:val="center"/>
              <w:rPr>
                <w:b/>
              </w:rPr>
            </w:pPr>
            <w:r>
              <w:rPr>
                <w:b/>
              </w:rPr>
              <w:t>CT &amp; HRSG</w:t>
            </w:r>
            <w:r w:rsidR="00F575DA">
              <w:rPr>
                <w:b/>
              </w:rPr>
              <w:t xml:space="preserve"> </w:t>
            </w:r>
            <w:r w:rsidR="00F575DA" w:rsidRPr="00F575DA">
              <w:rPr>
                <w:b/>
                <w:vertAlign w:val="superscript"/>
              </w:rPr>
              <w:fldChar w:fldCharType="begin"/>
            </w:r>
            <w:r w:rsidR="00F575DA" w:rsidRPr="00F575DA">
              <w:rPr>
                <w:b/>
                <w:vertAlign w:val="superscript"/>
              </w:rPr>
              <w:instrText xml:space="preserve"> REF _Ref508790398 \r \h </w:instrText>
            </w:r>
            <w:r w:rsidR="00F575DA">
              <w:rPr>
                <w:b/>
                <w:vertAlign w:val="superscript"/>
              </w:rPr>
              <w:instrText xml:space="preserve"> \* MERGEFORMAT </w:instrText>
            </w:r>
            <w:r w:rsidR="00F575DA" w:rsidRPr="00F575DA">
              <w:rPr>
                <w:b/>
                <w:vertAlign w:val="superscript"/>
              </w:rPr>
            </w:r>
            <w:r w:rsidR="00F575DA" w:rsidRPr="00F575DA">
              <w:rPr>
                <w:b/>
                <w:vertAlign w:val="superscript"/>
              </w:rPr>
              <w:fldChar w:fldCharType="separate"/>
            </w:r>
            <w:r w:rsidR="003E3FA4">
              <w:rPr>
                <w:b/>
                <w:vertAlign w:val="superscript"/>
              </w:rPr>
              <w:t>a</w:t>
            </w:r>
            <w:r w:rsidR="00F575DA" w:rsidRPr="00F575DA">
              <w:rPr>
                <w:b/>
                <w:vertAlign w:val="superscript"/>
              </w:rPr>
              <w:fldChar w:fldCharType="end"/>
            </w:r>
          </w:p>
        </w:tc>
        <w:tc>
          <w:tcPr>
            <w:tcW w:w="1267" w:type="dxa"/>
            <w:tcBorders>
              <w:top w:val="single" w:sz="8" w:space="0" w:color="auto"/>
              <w:left w:val="single" w:sz="8"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jc w:val="center"/>
              <w:rPr>
                <w:b/>
              </w:rPr>
            </w:pPr>
            <w:r w:rsidRPr="002E7375">
              <w:rPr>
                <w:b/>
              </w:rPr>
              <w:t>Auxiliary Boiler</w:t>
            </w:r>
          </w:p>
        </w:tc>
        <w:tc>
          <w:tcPr>
            <w:tcW w:w="1267" w:type="dxa"/>
            <w:tcBorders>
              <w:top w:val="single" w:sz="8" w:space="0" w:color="auto"/>
              <w:left w:val="single" w:sz="8"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jc w:val="center"/>
              <w:rPr>
                <w:b/>
              </w:rPr>
            </w:pPr>
            <w:r>
              <w:rPr>
                <w:b/>
              </w:rPr>
              <w:t>Emergency Generator</w:t>
            </w:r>
          </w:p>
        </w:tc>
        <w:tc>
          <w:tcPr>
            <w:tcW w:w="1267" w:type="dxa"/>
            <w:tcBorders>
              <w:top w:val="single" w:sz="8" w:space="0" w:color="auto"/>
              <w:left w:val="single" w:sz="8"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jc w:val="center"/>
              <w:rPr>
                <w:b/>
              </w:rPr>
            </w:pPr>
            <w:r w:rsidRPr="002E7375">
              <w:rPr>
                <w:b/>
              </w:rPr>
              <w:t>Fire Pump Engine</w:t>
            </w:r>
          </w:p>
        </w:tc>
        <w:tc>
          <w:tcPr>
            <w:tcW w:w="1267" w:type="dxa"/>
            <w:tcBorders>
              <w:top w:val="single" w:sz="8" w:space="0" w:color="auto"/>
              <w:left w:val="single" w:sz="8" w:space="0" w:color="auto"/>
              <w:bottom w:val="single" w:sz="12" w:space="0" w:color="auto"/>
              <w:right w:val="single" w:sz="8" w:space="0" w:color="auto"/>
            </w:tcBorders>
            <w:shd w:val="clear" w:color="auto" w:fill="B8CCE4"/>
            <w:vAlign w:val="center"/>
            <w:hideMark/>
          </w:tcPr>
          <w:p w:rsidR="00FD0E4F" w:rsidRPr="002E7375" w:rsidRDefault="00FD0E4F" w:rsidP="002E7375">
            <w:pPr>
              <w:widowControl w:val="0"/>
              <w:jc w:val="center"/>
              <w:rPr>
                <w:b/>
              </w:rPr>
            </w:pPr>
            <w:r w:rsidRPr="002E7375">
              <w:rPr>
                <w:b/>
              </w:rPr>
              <w:t>Cooling Tower</w:t>
            </w:r>
          </w:p>
        </w:tc>
        <w:tc>
          <w:tcPr>
            <w:tcW w:w="1135" w:type="dxa"/>
            <w:tcBorders>
              <w:top w:val="single" w:sz="8" w:space="0" w:color="auto"/>
              <w:left w:val="single" w:sz="8" w:space="0" w:color="auto"/>
              <w:bottom w:val="single" w:sz="12" w:space="0" w:color="auto"/>
              <w:right w:val="single" w:sz="12" w:space="0" w:color="auto"/>
            </w:tcBorders>
            <w:shd w:val="clear" w:color="auto" w:fill="B8CCE4"/>
            <w:vAlign w:val="center"/>
          </w:tcPr>
          <w:p w:rsidR="00FD0E4F" w:rsidRPr="002E7375" w:rsidRDefault="00AF3556" w:rsidP="002E7375">
            <w:pPr>
              <w:widowControl w:val="0"/>
              <w:jc w:val="center"/>
              <w:rPr>
                <w:b/>
              </w:rPr>
            </w:pPr>
            <w:r>
              <w:rPr>
                <w:b/>
              </w:rPr>
              <w:t xml:space="preserve">2 </w:t>
            </w:r>
            <w:r w:rsidR="00FD0E4F" w:rsidRPr="002E7375">
              <w:rPr>
                <w:b/>
              </w:rPr>
              <w:t>Circuit Breakers</w:t>
            </w:r>
          </w:p>
        </w:tc>
      </w:tr>
      <w:tr w:rsidR="00FD0E4F" w:rsidRPr="002E7375" w:rsidTr="000C2AF7">
        <w:trPr>
          <w:trHeight w:val="348"/>
          <w:jc w:val="center"/>
        </w:trPr>
        <w:tc>
          <w:tcPr>
            <w:tcW w:w="1875" w:type="dxa"/>
            <w:tcBorders>
              <w:top w:val="single" w:sz="12" w:space="0" w:color="auto"/>
              <w:left w:val="single" w:sz="12" w:space="0" w:color="auto"/>
              <w:bottom w:val="single" w:sz="4" w:space="0" w:color="auto"/>
              <w:right w:val="single" w:sz="8" w:space="0" w:color="auto"/>
            </w:tcBorders>
            <w:vAlign w:val="center"/>
            <w:hideMark/>
          </w:tcPr>
          <w:p w:rsidR="00FD0E4F" w:rsidRPr="002E7375" w:rsidRDefault="00FD0E4F" w:rsidP="000C2AF7">
            <w:pPr>
              <w:widowControl w:val="0"/>
              <w:spacing w:before="60" w:after="60"/>
              <w:jc w:val="center"/>
              <w:rPr>
                <w:b/>
              </w:rPr>
            </w:pPr>
            <w:r w:rsidRPr="002E7375">
              <w:rPr>
                <w:b/>
              </w:rPr>
              <w:t>SO</w:t>
            </w:r>
            <w:r w:rsidRPr="002E7375">
              <w:rPr>
                <w:b/>
                <w:vertAlign w:val="subscript"/>
              </w:rPr>
              <w:t>2</w:t>
            </w:r>
          </w:p>
        </w:tc>
        <w:tc>
          <w:tcPr>
            <w:tcW w:w="1267" w:type="dxa"/>
            <w:tcBorders>
              <w:top w:val="single" w:sz="12" w:space="0" w:color="auto"/>
              <w:left w:val="single" w:sz="8" w:space="0" w:color="auto"/>
              <w:bottom w:val="single" w:sz="4" w:space="0" w:color="auto"/>
              <w:right w:val="single" w:sz="8" w:space="0" w:color="auto"/>
            </w:tcBorders>
            <w:vAlign w:val="center"/>
            <w:hideMark/>
          </w:tcPr>
          <w:p w:rsidR="00FD0E4F" w:rsidRPr="002E7375" w:rsidRDefault="0046318C" w:rsidP="000C2AF7">
            <w:pPr>
              <w:widowControl w:val="0"/>
              <w:spacing w:before="60" w:after="60"/>
              <w:jc w:val="center"/>
            </w:pPr>
            <w:r>
              <w:t>90.6</w:t>
            </w:r>
          </w:p>
        </w:tc>
        <w:tc>
          <w:tcPr>
            <w:tcW w:w="1267" w:type="dxa"/>
            <w:tcBorders>
              <w:top w:val="single" w:sz="12" w:space="0" w:color="auto"/>
              <w:left w:val="single" w:sz="8" w:space="0" w:color="auto"/>
              <w:bottom w:val="single" w:sz="4" w:space="0" w:color="auto"/>
              <w:right w:val="single" w:sz="8" w:space="0" w:color="auto"/>
            </w:tcBorders>
            <w:vAlign w:val="center"/>
          </w:tcPr>
          <w:p w:rsidR="00FD0E4F" w:rsidRPr="002E7375" w:rsidRDefault="0046318C" w:rsidP="000C2AF7">
            <w:pPr>
              <w:widowControl w:val="0"/>
              <w:spacing w:before="60" w:after="60"/>
              <w:jc w:val="center"/>
            </w:pPr>
            <w:r>
              <w:t>0.34</w:t>
            </w:r>
          </w:p>
        </w:tc>
        <w:tc>
          <w:tcPr>
            <w:tcW w:w="1267" w:type="dxa"/>
            <w:tcBorders>
              <w:top w:val="single" w:sz="12" w:space="0" w:color="auto"/>
              <w:left w:val="single" w:sz="8" w:space="0" w:color="auto"/>
              <w:bottom w:val="single" w:sz="4" w:space="0" w:color="auto"/>
              <w:right w:val="single" w:sz="8" w:space="0" w:color="auto"/>
            </w:tcBorders>
            <w:vAlign w:val="center"/>
          </w:tcPr>
          <w:p w:rsidR="00FD0E4F" w:rsidRPr="002E7375" w:rsidRDefault="0046318C" w:rsidP="000C2AF7">
            <w:pPr>
              <w:widowControl w:val="0"/>
              <w:spacing w:before="60" w:after="60"/>
              <w:jc w:val="center"/>
            </w:pPr>
            <w:r>
              <w:t>0.00580</w:t>
            </w:r>
          </w:p>
        </w:tc>
        <w:tc>
          <w:tcPr>
            <w:tcW w:w="1267" w:type="dxa"/>
            <w:tcBorders>
              <w:top w:val="single" w:sz="12" w:space="0" w:color="auto"/>
              <w:left w:val="single" w:sz="8" w:space="0" w:color="auto"/>
              <w:bottom w:val="single" w:sz="4" w:space="0" w:color="auto"/>
              <w:right w:val="single" w:sz="8" w:space="0" w:color="auto"/>
            </w:tcBorders>
            <w:vAlign w:val="center"/>
          </w:tcPr>
          <w:p w:rsidR="00FD0E4F" w:rsidRPr="003E6E67" w:rsidRDefault="003E6E67" w:rsidP="000C2AF7">
            <w:pPr>
              <w:widowControl w:val="0"/>
              <w:spacing w:before="60" w:after="60"/>
              <w:jc w:val="center"/>
            </w:pPr>
            <w:r w:rsidRPr="003E6E67">
              <w:t>0.00096</w:t>
            </w:r>
          </w:p>
        </w:tc>
        <w:tc>
          <w:tcPr>
            <w:tcW w:w="1267" w:type="dxa"/>
            <w:tcBorders>
              <w:top w:val="single" w:sz="12" w:space="0" w:color="auto"/>
              <w:left w:val="single" w:sz="8" w:space="0" w:color="auto"/>
              <w:bottom w:val="single" w:sz="4" w:space="0" w:color="auto"/>
              <w:right w:val="single" w:sz="8" w:space="0" w:color="auto"/>
            </w:tcBorders>
            <w:vAlign w:val="center"/>
            <w:hideMark/>
          </w:tcPr>
          <w:p w:rsidR="00FD0E4F" w:rsidRPr="003E6E67" w:rsidRDefault="00FD0E4F" w:rsidP="000C2AF7">
            <w:pPr>
              <w:widowControl w:val="0"/>
              <w:spacing w:before="60" w:after="60"/>
              <w:jc w:val="center"/>
            </w:pPr>
            <w:r w:rsidRPr="003E6E67">
              <w:t>-</w:t>
            </w:r>
          </w:p>
        </w:tc>
        <w:tc>
          <w:tcPr>
            <w:tcW w:w="1135" w:type="dxa"/>
            <w:tcBorders>
              <w:top w:val="single" w:sz="12" w:space="0" w:color="auto"/>
              <w:left w:val="single" w:sz="8" w:space="0" w:color="auto"/>
              <w:bottom w:val="single" w:sz="4" w:space="0" w:color="auto"/>
              <w:right w:val="single" w:sz="12" w:space="0" w:color="auto"/>
            </w:tcBorders>
            <w:vAlign w:val="center"/>
          </w:tcPr>
          <w:p w:rsidR="00FD0E4F" w:rsidRPr="003E6E67" w:rsidRDefault="00FD0E4F" w:rsidP="000C2AF7">
            <w:pPr>
              <w:widowControl w:val="0"/>
              <w:spacing w:before="60" w:after="60"/>
              <w:jc w:val="center"/>
            </w:pPr>
            <w:r w:rsidRPr="003E6E67">
              <w:t>-</w:t>
            </w:r>
          </w:p>
        </w:tc>
      </w:tr>
      <w:tr w:rsidR="00FD0E4F" w:rsidRPr="002E7375" w:rsidTr="000C2AF7">
        <w:trPr>
          <w:trHeight w:val="20"/>
          <w:jc w:val="center"/>
        </w:trPr>
        <w:tc>
          <w:tcPr>
            <w:tcW w:w="1875" w:type="dxa"/>
            <w:tcBorders>
              <w:top w:val="single" w:sz="4" w:space="0" w:color="auto"/>
              <w:left w:val="single" w:sz="12" w:space="0" w:color="auto"/>
              <w:bottom w:val="single" w:sz="4" w:space="0" w:color="auto"/>
              <w:right w:val="single" w:sz="8" w:space="0" w:color="auto"/>
            </w:tcBorders>
            <w:vAlign w:val="center"/>
            <w:hideMark/>
          </w:tcPr>
          <w:p w:rsidR="00FD0E4F" w:rsidRPr="002E7375" w:rsidRDefault="00FD0E4F" w:rsidP="000C2AF7">
            <w:pPr>
              <w:widowControl w:val="0"/>
              <w:spacing w:before="60" w:after="60"/>
              <w:jc w:val="center"/>
              <w:rPr>
                <w:b/>
              </w:rPr>
            </w:pPr>
            <w:r w:rsidRPr="002E7375">
              <w:rPr>
                <w:b/>
              </w:rPr>
              <w:t>PM</w:t>
            </w:r>
          </w:p>
        </w:tc>
        <w:tc>
          <w:tcPr>
            <w:tcW w:w="1267" w:type="dxa"/>
            <w:tcBorders>
              <w:top w:val="single" w:sz="4" w:space="0" w:color="auto"/>
              <w:left w:val="single" w:sz="8" w:space="0" w:color="auto"/>
              <w:bottom w:val="single" w:sz="4" w:space="0" w:color="auto"/>
              <w:right w:val="single" w:sz="8" w:space="0" w:color="auto"/>
            </w:tcBorders>
            <w:vAlign w:val="center"/>
          </w:tcPr>
          <w:p w:rsidR="00FD0E4F" w:rsidRPr="002E7375" w:rsidRDefault="0046318C" w:rsidP="000C2AF7">
            <w:pPr>
              <w:widowControl w:val="0"/>
              <w:spacing w:before="60" w:after="60"/>
              <w:jc w:val="center"/>
            </w:pPr>
            <w:r>
              <w:t>59.3</w:t>
            </w:r>
          </w:p>
        </w:tc>
        <w:tc>
          <w:tcPr>
            <w:tcW w:w="1267" w:type="dxa"/>
            <w:tcBorders>
              <w:top w:val="single" w:sz="4" w:space="0" w:color="auto"/>
              <w:left w:val="single" w:sz="8" w:space="0" w:color="auto"/>
              <w:bottom w:val="single" w:sz="4" w:space="0" w:color="auto"/>
              <w:right w:val="single" w:sz="8" w:space="0" w:color="auto"/>
            </w:tcBorders>
            <w:vAlign w:val="center"/>
          </w:tcPr>
          <w:p w:rsidR="00FD0E4F" w:rsidRPr="002E7375" w:rsidRDefault="0046318C" w:rsidP="000C2AF7">
            <w:pPr>
              <w:widowControl w:val="0"/>
              <w:spacing w:before="60" w:after="60"/>
              <w:jc w:val="center"/>
            </w:pPr>
            <w:r>
              <w:t>0.42</w:t>
            </w:r>
          </w:p>
        </w:tc>
        <w:tc>
          <w:tcPr>
            <w:tcW w:w="1267" w:type="dxa"/>
            <w:tcBorders>
              <w:top w:val="single" w:sz="4" w:space="0" w:color="auto"/>
              <w:left w:val="single" w:sz="8" w:space="0" w:color="auto"/>
              <w:bottom w:val="single" w:sz="4" w:space="0" w:color="auto"/>
              <w:right w:val="single" w:sz="8" w:space="0" w:color="auto"/>
            </w:tcBorders>
            <w:vAlign w:val="center"/>
          </w:tcPr>
          <w:p w:rsidR="00FD0E4F" w:rsidRPr="002E7375" w:rsidRDefault="00A36B1E" w:rsidP="000C2AF7">
            <w:pPr>
              <w:widowControl w:val="0"/>
              <w:spacing w:before="60" w:after="60"/>
              <w:jc w:val="center"/>
            </w:pPr>
            <w:r>
              <w:t>0.181</w:t>
            </w:r>
          </w:p>
        </w:tc>
        <w:tc>
          <w:tcPr>
            <w:tcW w:w="1267" w:type="dxa"/>
            <w:tcBorders>
              <w:top w:val="single" w:sz="4" w:space="0" w:color="auto"/>
              <w:left w:val="single" w:sz="8" w:space="0" w:color="auto"/>
              <w:bottom w:val="single" w:sz="4" w:space="0" w:color="auto"/>
              <w:right w:val="single" w:sz="8" w:space="0" w:color="auto"/>
            </w:tcBorders>
            <w:vAlign w:val="center"/>
          </w:tcPr>
          <w:p w:rsidR="00FD0E4F" w:rsidRPr="003E6E67" w:rsidRDefault="00A356F6" w:rsidP="000C2AF7">
            <w:pPr>
              <w:widowControl w:val="0"/>
              <w:spacing w:before="60" w:after="60"/>
              <w:jc w:val="center"/>
            </w:pPr>
            <w:r>
              <w:t>0.029</w:t>
            </w:r>
          </w:p>
        </w:tc>
        <w:tc>
          <w:tcPr>
            <w:tcW w:w="1267" w:type="dxa"/>
            <w:tcBorders>
              <w:top w:val="single" w:sz="4" w:space="0" w:color="auto"/>
              <w:left w:val="single" w:sz="8" w:space="0" w:color="auto"/>
              <w:bottom w:val="single" w:sz="4" w:space="0" w:color="auto"/>
              <w:right w:val="single" w:sz="8" w:space="0" w:color="auto"/>
            </w:tcBorders>
            <w:vAlign w:val="center"/>
          </w:tcPr>
          <w:p w:rsidR="00FD0E4F" w:rsidRPr="003E6E67" w:rsidRDefault="00811F29" w:rsidP="000C2AF7">
            <w:pPr>
              <w:widowControl w:val="0"/>
              <w:spacing w:before="60" w:after="60"/>
              <w:jc w:val="center"/>
            </w:pPr>
            <w:r>
              <w:t>16.06</w:t>
            </w:r>
          </w:p>
        </w:tc>
        <w:tc>
          <w:tcPr>
            <w:tcW w:w="1135" w:type="dxa"/>
            <w:tcBorders>
              <w:top w:val="single" w:sz="4" w:space="0" w:color="auto"/>
              <w:left w:val="single" w:sz="8" w:space="0" w:color="auto"/>
              <w:bottom w:val="single" w:sz="4" w:space="0" w:color="auto"/>
              <w:right w:val="single" w:sz="12" w:space="0" w:color="auto"/>
            </w:tcBorders>
            <w:vAlign w:val="center"/>
          </w:tcPr>
          <w:p w:rsidR="00FD0E4F" w:rsidRPr="003E6E67" w:rsidRDefault="00FD0E4F"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4" w:space="0" w:color="auto"/>
              <w:left w:val="single" w:sz="12" w:space="0" w:color="auto"/>
              <w:bottom w:val="single" w:sz="4"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PM</w:t>
            </w:r>
            <w:r w:rsidRPr="002E7375">
              <w:rPr>
                <w:b/>
                <w:vertAlign w:val="subscript"/>
              </w:rPr>
              <w:t>10</w:t>
            </w:r>
            <w:r w:rsidR="00A70A7F">
              <w:rPr>
                <w:b/>
                <w:vertAlign w:val="subscript"/>
              </w:rPr>
              <w:t xml:space="preserve"> </w:t>
            </w:r>
            <w:r w:rsidR="00A70A7F" w:rsidRPr="00A70A7F">
              <w:rPr>
                <w:b/>
                <w:vertAlign w:val="superscript"/>
              </w:rPr>
              <w:fldChar w:fldCharType="begin"/>
            </w:r>
            <w:r w:rsidR="00A70A7F" w:rsidRPr="00A70A7F">
              <w:rPr>
                <w:b/>
                <w:vertAlign w:val="superscript"/>
              </w:rPr>
              <w:instrText xml:space="preserve"> REF _Ref508796068 \r \h  \* MERGEFORMAT </w:instrText>
            </w:r>
            <w:r w:rsidR="00A70A7F" w:rsidRPr="00A70A7F">
              <w:rPr>
                <w:b/>
                <w:vertAlign w:val="superscript"/>
              </w:rPr>
            </w:r>
            <w:r w:rsidR="00A70A7F" w:rsidRPr="00A70A7F">
              <w:rPr>
                <w:b/>
                <w:vertAlign w:val="superscript"/>
              </w:rPr>
              <w:fldChar w:fldCharType="separate"/>
            </w:r>
            <w:r w:rsidR="003E3FA4">
              <w:rPr>
                <w:b/>
                <w:vertAlign w:val="superscript"/>
              </w:rPr>
              <w:t>b</w:t>
            </w:r>
            <w:r w:rsidR="00A70A7F" w:rsidRPr="00A70A7F">
              <w:rPr>
                <w:b/>
                <w:vertAlign w:val="superscript"/>
              </w:rPr>
              <w:fldChar w:fldCharType="end"/>
            </w:r>
          </w:p>
        </w:tc>
        <w:tc>
          <w:tcPr>
            <w:tcW w:w="1267" w:type="dxa"/>
            <w:tcBorders>
              <w:top w:val="single" w:sz="4" w:space="0" w:color="auto"/>
              <w:left w:val="single" w:sz="8" w:space="0" w:color="auto"/>
              <w:bottom w:val="single" w:sz="4" w:space="0" w:color="auto"/>
              <w:right w:val="single" w:sz="8" w:space="0" w:color="auto"/>
            </w:tcBorders>
            <w:vAlign w:val="center"/>
          </w:tcPr>
          <w:p w:rsidR="00811F29" w:rsidRPr="002E7375" w:rsidRDefault="00811F29" w:rsidP="000C2AF7">
            <w:pPr>
              <w:widowControl w:val="0"/>
              <w:spacing w:before="60" w:after="60"/>
              <w:jc w:val="center"/>
            </w:pPr>
            <w:r>
              <w:t>59.3</w:t>
            </w:r>
          </w:p>
        </w:tc>
        <w:tc>
          <w:tcPr>
            <w:tcW w:w="1267" w:type="dxa"/>
            <w:tcBorders>
              <w:top w:val="single" w:sz="4" w:space="0" w:color="auto"/>
              <w:left w:val="single" w:sz="8" w:space="0" w:color="auto"/>
              <w:bottom w:val="single" w:sz="4" w:space="0" w:color="auto"/>
              <w:right w:val="single" w:sz="8" w:space="0" w:color="auto"/>
            </w:tcBorders>
            <w:vAlign w:val="center"/>
          </w:tcPr>
          <w:p w:rsidR="00811F29" w:rsidRPr="002E7375" w:rsidRDefault="00811F29" w:rsidP="000C2AF7">
            <w:pPr>
              <w:widowControl w:val="0"/>
              <w:spacing w:before="60" w:after="60"/>
              <w:jc w:val="center"/>
            </w:pPr>
            <w:r>
              <w:t>0.42</w:t>
            </w:r>
          </w:p>
        </w:tc>
        <w:tc>
          <w:tcPr>
            <w:tcW w:w="1267" w:type="dxa"/>
            <w:tcBorders>
              <w:top w:val="single" w:sz="4" w:space="0" w:color="auto"/>
              <w:left w:val="single" w:sz="8" w:space="0" w:color="auto"/>
              <w:bottom w:val="single" w:sz="4" w:space="0" w:color="auto"/>
              <w:right w:val="single" w:sz="8" w:space="0" w:color="auto"/>
            </w:tcBorders>
            <w:vAlign w:val="center"/>
          </w:tcPr>
          <w:p w:rsidR="00811F29" w:rsidRPr="002E7375" w:rsidRDefault="00811F29" w:rsidP="000C2AF7">
            <w:pPr>
              <w:widowControl w:val="0"/>
              <w:spacing w:before="60" w:after="60"/>
              <w:jc w:val="center"/>
            </w:pPr>
            <w:r>
              <w:t>0.181</w:t>
            </w:r>
          </w:p>
        </w:tc>
        <w:tc>
          <w:tcPr>
            <w:tcW w:w="1267" w:type="dxa"/>
            <w:tcBorders>
              <w:top w:val="single" w:sz="4" w:space="0" w:color="auto"/>
              <w:left w:val="single" w:sz="8" w:space="0" w:color="auto"/>
              <w:bottom w:val="single" w:sz="4" w:space="0" w:color="auto"/>
              <w:right w:val="single" w:sz="8" w:space="0" w:color="auto"/>
            </w:tcBorders>
            <w:vAlign w:val="center"/>
          </w:tcPr>
          <w:p w:rsidR="00811F29" w:rsidRPr="003E6E67" w:rsidRDefault="00811F29" w:rsidP="000C2AF7">
            <w:pPr>
              <w:widowControl w:val="0"/>
              <w:spacing w:before="60" w:after="60"/>
              <w:jc w:val="center"/>
            </w:pPr>
            <w:r>
              <w:t>0.029</w:t>
            </w:r>
          </w:p>
        </w:tc>
        <w:tc>
          <w:tcPr>
            <w:tcW w:w="1267" w:type="dxa"/>
            <w:tcBorders>
              <w:top w:val="single" w:sz="4" w:space="0" w:color="auto"/>
              <w:left w:val="single" w:sz="8" w:space="0" w:color="auto"/>
              <w:bottom w:val="single" w:sz="4" w:space="0" w:color="auto"/>
              <w:right w:val="single" w:sz="8" w:space="0" w:color="auto"/>
            </w:tcBorders>
            <w:vAlign w:val="center"/>
          </w:tcPr>
          <w:p w:rsidR="00811F29" w:rsidRPr="003E6E67" w:rsidRDefault="00811F29" w:rsidP="000C2AF7">
            <w:pPr>
              <w:widowControl w:val="0"/>
              <w:spacing w:before="60" w:after="60"/>
              <w:jc w:val="center"/>
            </w:pPr>
            <w:r>
              <w:t>3.17</w:t>
            </w:r>
          </w:p>
        </w:tc>
        <w:tc>
          <w:tcPr>
            <w:tcW w:w="1135" w:type="dxa"/>
            <w:tcBorders>
              <w:top w:val="single" w:sz="4" w:space="0" w:color="auto"/>
              <w:left w:val="single" w:sz="8" w:space="0" w:color="auto"/>
              <w:bottom w:val="single" w:sz="4"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4" w:space="0" w:color="auto"/>
              <w:left w:val="single" w:sz="12" w:space="0" w:color="auto"/>
              <w:bottom w:val="single" w:sz="8"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PM</w:t>
            </w:r>
            <w:r w:rsidRPr="002E7375">
              <w:rPr>
                <w:b/>
                <w:vertAlign w:val="subscript"/>
              </w:rPr>
              <w:t xml:space="preserve">2.5 </w:t>
            </w:r>
            <w:r w:rsidR="00A70A7F" w:rsidRPr="00A70A7F">
              <w:rPr>
                <w:b/>
                <w:vertAlign w:val="superscript"/>
              </w:rPr>
              <w:fldChar w:fldCharType="begin"/>
            </w:r>
            <w:r w:rsidR="00A70A7F" w:rsidRPr="00A70A7F">
              <w:rPr>
                <w:b/>
                <w:vertAlign w:val="superscript"/>
              </w:rPr>
              <w:instrText xml:space="preserve"> REF _Ref508796068 \r \h  \* MERGEFORMAT </w:instrText>
            </w:r>
            <w:r w:rsidR="00A70A7F" w:rsidRPr="00A70A7F">
              <w:rPr>
                <w:b/>
                <w:vertAlign w:val="superscript"/>
              </w:rPr>
            </w:r>
            <w:r w:rsidR="00A70A7F" w:rsidRPr="00A70A7F">
              <w:rPr>
                <w:b/>
                <w:vertAlign w:val="superscript"/>
              </w:rPr>
              <w:fldChar w:fldCharType="separate"/>
            </w:r>
            <w:r w:rsidR="003E3FA4">
              <w:rPr>
                <w:b/>
                <w:vertAlign w:val="superscript"/>
              </w:rPr>
              <w:t>b</w:t>
            </w:r>
            <w:r w:rsidR="00A70A7F" w:rsidRPr="00A70A7F">
              <w:rPr>
                <w:b/>
                <w:vertAlign w:val="superscript"/>
              </w:rPr>
              <w:fldChar w:fldCharType="end"/>
            </w:r>
          </w:p>
        </w:tc>
        <w:tc>
          <w:tcPr>
            <w:tcW w:w="1267" w:type="dxa"/>
            <w:tcBorders>
              <w:top w:val="single" w:sz="4"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59.3</w:t>
            </w:r>
          </w:p>
        </w:tc>
        <w:tc>
          <w:tcPr>
            <w:tcW w:w="1267" w:type="dxa"/>
            <w:tcBorders>
              <w:top w:val="single" w:sz="4"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0.42</w:t>
            </w:r>
          </w:p>
        </w:tc>
        <w:tc>
          <w:tcPr>
            <w:tcW w:w="1267" w:type="dxa"/>
            <w:tcBorders>
              <w:top w:val="single" w:sz="4"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0.181</w:t>
            </w:r>
          </w:p>
        </w:tc>
        <w:tc>
          <w:tcPr>
            <w:tcW w:w="1267" w:type="dxa"/>
            <w:tcBorders>
              <w:top w:val="single" w:sz="4"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0.029</w:t>
            </w:r>
          </w:p>
        </w:tc>
        <w:tc>
          <w:tcPr>
            <w:tcW w:w="1267" w:type="dxa"/>
            <w:tcBorders>
              <w:top w:val="single" w:sz="4"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0.010</w:t>
            </w:r>
          </w:p>
        </w:tc>
        <w:tc>
          <w:tcPr>
            <w:tcW w:w="1135" w:type="dxa"/>
            <w:tcBorders>
              <w:top w:val="single" w:sz="4" w:space="0" w:color="auto"/>
              <w:left w:val="single" w:sz="8" w:space="0" w:color="auto"/>
              <w:bottom w:val="single" w:sz="8"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8" w:space="0" w:color="auto"/>
              <w:left w:val="single" w:sz="12" w:space="0" w:color="auto"/>
              <w:bottom w:val="single" w:sz="8"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NO</w:t>
            </w:r>
            <w:r w:rsidRPr="002E7375">
              <w:rPr>
                <w:b/>
                <w:vertAlign w:val="subscript"/>
              </w:rPr>
              <w:t>X</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116.8</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3.00</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5.80</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0.57</w:t>
            </w:r>
          </w:p>
        </w:tc>
        <w:tc>
          <w:tcPr>
            <w:tcW w:w="1267" w:type="dxa"/>
            <w:tcBorders>
              <w:top w:val="single" w:sz="8" w:space="0" w:color="auto"/>
              <w:left w:val="single" w:sz="8" w:space="0" w:color="auto"/>
              <w:bottom w:val="single" w:sz="8" w:space="0" w:color="auto"/>
              <w:right w:val="single" w:sz="4" w:space="0" w:color="auto"/>
            </w:tcBorders>
            <w:vAlign w:val="center"/>
          </w:tcPr>
          <w:p w:rsidR="00811F29" w:rsidRPr="003E6E67" w:rsidRDefault="00811F29" w:rsidP="000C2AF7">
            <w:pPr>
              <w:widowControl w:val="0"/>
              <w:spacing w:before="60" w:after="60"/>
              <w:jc w:val="center"/>
            </w:pPr>
            <w:r w:rsidRPr="003E6E67">
              <w:t>-</w:t>
            </w:r>
          </w:p>
        </w:tc>
        <w:tc>
          <w:tcPr>
            <w:tcW w:w="1135" w:type="dxa"/>
            <w:tcBorders>
              <w:top w:val="single" w:sz="8" w:space="0" w:color="auto"/>
              <w:left w:val="single" w:sz="4" w:space="0" w:color="auto"/>
              <w:bottom w:val="single" w:sz="8"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8" w:space="0" w:color="auto"/>
              <w:left w:val="single" w:sz="12" w:space="0" w:color="auto"/>
              <w:bottom w:val="single" w:sz="8"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CO</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179.1</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4.80</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3.17</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0.497</w:t>
            </w:r>
          </w:p>
        </w:tc>
        <w:tc>
          <w:tcPr>
            <w:tcW w:w="1267" w:type="dxa"/>
            <w:tcBorders>
              <w:top w:val="single" w:sz="8" w:space="0" w:color="auto"/>
              <w:left w:val="single" w:sz="8" w:space="0" w:color="auto"/>
              <w:bottom w:val="single" w:sz="8" w:space="0" w:color="auto"/>
              <w:right w:val="single" w:sz="4" w:space="0" w:color="auto"/>
            </w:tcBorders>
            <w:vAlign w:val="center"/>
          </w:tcPr>
          <w:p w:rsidR="00811F29" w:rsidRPr="003E6E67" w:rsidRDefault="00811F29" w:rsidP="000C2AF7">
            <w:pPr>
              <w:widowControl w:val="0"/>
              <w:spacing w:before="60" w:after="60"/>
              <w:jc w:val="center"/>
            </w:pPr>
            <w:r w:rsidRPr="003E6E67">
              <w:t>-</w:t>
            </w:r>
          </w:p>
        </w:tc>
        <w:tc>
          <w:tcPr>
            <w:tcW w:w="1135" w:type="dxa"/>
            <w:tcBorders>
              <w:top w:val="single" w:sz="8" w:space="0" w:color="auto"/>
              <w:left w:val="single" w:sz="4" w:space="0" w:color="auto"/>
              <w:bottom w:val="single" w:sz="8"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8" w:space="0" w:color="auto"/>
              <w:left w:val="single" w:sz="12" w:space="0" w:color="auto"/>
              <w:bottom w:val="single" w:sz="8"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VOC (as methane)</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30.7</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0.30</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0.907</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0.143</w:t>
            </w:r>
          </w:p>
        </w:tc>
        <w:tc>
          <w:tcPr>
            <w:tcW w:w="1267" w:type="dxa"/>
            <w:tcBorders>
              <w:top w:val="single" w:sz="8" w:space="0" w:color="auto"/>
              <w:left w:val="single" w:sz="8" w:space="0" w:color="auto"/>
              <w:bottom w:val="single" w:sz="8" w:space="0" w:color="auto"/>
              <w:right w:val="single" w:sz="4" w:space="0" w:color="auto"/>
            </w:tcBorders>
            <w:vAlign w:val="center"/>
          </w:tcPr>
          <w:p w:rsidR="00811F29" w:rsidRPr="003E6E67" w:rsidRDefault="00811F29" w:rsidP="000C2AF7">
            <w:pPr>
              <w:widowControl w:val="0"/>
              <w:spacing w:before="60" w:after="60"/>
              <w:jc w:val="center"/>
            </w:pPr>
            <w:r w:rsidRPr="003E6E67">
              <w:t>-</w:t>
            </w:r>
          </w:p>
        </w:tc>
        <w:tc>
          <w:tcPr>
            <w:tcW w:w="1135" w:type="dxa"/>
            <w:tcBorders>
              <w:top w:val="single" w:sz="8" w:space="0" w:color="auto"/>
              <w:left w:val="single" w:sz="4" w:space="0" w:color="auto"/>
              <w:bottom w:val="single" w:sz="8"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8" w:space="0" w:color="auto"/>
              <w:left w:val="single" w:sz="12" w:space="0" w:color="auto"/>
              <w:bottom w:val="single" w:sz="8"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SAM</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15.2</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Neg.</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2E7375" w:rsidRDefault="00811F29" w:rsidP="000C2AF7">
            <w:pPr>
              <w:widowControl w:val="0"/>
              <w:spacing w:before="60" w:after="60"/>
              <w:jc w:val="center"/>
            </w:pPr>
            <w:r>
              <w:t>Neg.</w:t>
            </w:r>
          </w:p>
        </w:tc>
        <w:tc>
          <w:tcPr>
            <w:tcW w:w="1267" w:type="dxa"/>
            <w:tcBorders>
              <w:top w:val="single" w:sz="8" w:space="0" w:color="auto"/>
              <w:left w:val="single" w:sz="8" w:space="0" w:color="auto"/>
              <w:bottom w:val="single" w:sz="8" w:space="0" w:color="auto"/>
              <w:right w:val="single" w:sz="8" w:space="0" w:color="auto"/>
            </w:tcBorders>
            <w:vAlign w:val="center"/>
          </w:tcPr>
          <w:p w:rsidR="00811F29" w:rsidRPr="003E6E67" w:rsidRDefault="00811F29" w:rsidP="000C2AF7">
            <w:pPr>
              <w:widowControl w:val="0"/>
              <w:spacing w:before="60" w:after="60"/>
              <w:jc w:val="center"/>
            </w:pPr>
            <w:r>
              <w:t>Neg.</w:t>
            </w:r>
          </w:p>
        </w:tc>
        <w:tc>
          <w:tcPr>
            <w:tcW w:w="1267" w:type="dxa"/>
            <w:tcBorders>
              <w:top w:val="single" w:sz="8" w:space="0" w:color="auto"/>
              <w:left w:val="single" w:sz="8" w:space="0" w:color="auto"/>
              <w:bottom w:val="single" w:sz="8" w:space="0" w:color="auto"/>
              <w:right w:val="single" w:sz="4" w:space="0" w:color="auto"/>
            </w:tcBorders>
            <w:vAlign w:val="center"/>
          </w:tcPr>
          <w:p w:rsidR="00811F29" w:rsidRPr="003E6E67" w:rsidRDefault="00811F29" w:rsidP="000C2AF7">
            <w:pPr>
              <w:widowControl w:val="0"/>
              <w:spacing w:before="60" w:after="60"/>
              <w:jc w:val="center"/>
            </w:pPr>
            <w:r w:rsidRPr="003E6E67">
              <w:t>-</w:t>
            </w:r>
          </w:p>
        </w:tc>
        <w:tc>
          <w:tcPr>
            <w:tcW w:w="1135" w:type="dxa"/>
            <w:tcBorders>
              <w:top w:val="single" w:sz="8" w:space="0" w:color="auto"/>
              <w:left w:val="single" w:sz="4" w:space="0" w:color="auto"/>
              <w:bottom w:val="single" w:sz="8" w:space="0" w:color="auto"/>
              <w:right w:val="single" w:sz="12" w:space="0" w:color="auto"/>
            </w:tcBorders>
            <w:vAlign w:val="center"/>
          </w:tcPr>
          <w:p w:rsidR="00811F29" w:rsidRPr="003E6E67" w:rsidRDefault="00811F29" w:rsidP="000C2AF7">
            <w:pPr>
              <w:widowControl w:val="0"/>
              <w:spacing w:before="60" w:after="60"/>
              <w:jc w:val="center"/>
            </w:pPr>
            <w:r w:rsidRPr="003E6E67">
              <w:t>-</w:t>
            </w:r>
          </w:p>
        </w:tc>
      </w:tr>
      <w:tr w:rsidR="00811F29" w:rsidRPr="002E7375" w:rsidTr="000C2AF7">
        <w:trPr>
          <w:trHeight w:val="20"/>
          <w:jc w:val="center"/>
        </w:trPr>
        <w:tc>
          <w:tcPr>
            <w:tcW w:w="1875" w:type="dxa"/>
            <w:tcBorders>
              <w:top w:val="single" w:sz="8" w:space="0" w:color="auto"/>
              <w:left w:val="single" w:sz="12" w:space="0" w:color="auto"/>
              <w:bottom w:val="single" w:sz="12" w:space="0" w:color="auto"/>
              <w:right w:val="single" w:sz="8" w:space="0" w:color="auto"/>
            </w:tcBorders>
            <w:vAlign w:val="center"/>
            <w:hideMark/>
          </w:tcPr>
          <w:p w:rsidR="00811F29" w:rsidRPr="002E7375" w:rsidRDefault="00811F29" w:rsidP="000C2AF7">
            <w:pPr>
              <w:widowControl w:val="0"/>
              <w:spacing w:before="60" w:after="60"/>
              <w:jc w:val="center"/>
              <w:rPr>
                <w:b/>
              </w:rPr>
            </w:pPr>
            <w:r w:rsidRPr="002E7375">
              <w:rPr>
                <w:b/>
              </w:rPr>
              <w:t>GHGs (CO</w:t>
            </w:r>
            <w:r w:rsidRPr="002E7375">
              <w:rPr>
                <w:b/>
                <w:vertAlign w:val="subscript"/>
              </w:rPr>
              <w:t>2</w:t>
            </w:r>
            <w:r w:rsidRPr="002E7375">
              <w:rPr>
                <w:b/>
              </w:rPr>
              <w:t>e)</w:t>
            </w:r>
          </w:p>
        </w:tc>
        <w:tc>
          <w:tcPr>
            <w:tcW w:w="1267" w:type="dxa"/>
            <w:tcBorders>
              <w:top w:val="single" w:sz="8" w:space="0" w:color="auto"/>
              <w:left w:val="single" w:sz="8" w:space="0" w:color="auto"/>
              <w:bottom w:val="single" w:sz="12" w:space="0" w:color="auto"/>
              <w:right w:val="single" w:sz="8" w:space="0" w:color="auto"/>
            </w:tcBorders>
            <w:vAlign w:val="center"/>
          </w:tcPr>
          <w:p w:rsidR="00811F29" w:rsidRPr="002E7375" w:rsidRDefault="00811F29" w:rsidP="000C2AF7">
            <w:pPr>
              <w:widowControl w:val="0"/>
              <w:spacing w:before="60" w:after="60"/>
              <w:jc w:val="center"/>
            </w:pPr>
            <w:r>
              <w:t>1,877,683</w:t>
            </w:r>
          </w:p>
        </w:tc>
        <w:tc>
          <w:tcPr>
            <w:tcW w:w="1267" w:type="dxa"/>
            <w:tcBorders>
              <w:top w:val="single" w:sz="8" w:space="0" w:color="auto"/>
              <w:left w:val="single" w:sz="8" w:space="0" w:color="auto"/>
              <w:bottom w:val="single" w:sz="12" w:space="0" w:color="auto"/>
              <w:right w:val="single" w:sz="8" w:space="0" w:color="auto"/>
            </w:tcBorders>
            <w:vAlign w:val="center"/>
          </w:tcPr>
          <w:p w:rsidR="00811F29" w:rsidRPr="002E7375" w:rsidRDefault="00811F29" w:rsidP="000C2AF7">
            <w:pPr>
              <w:widowControl w:val="0"/>
              <w:spacing w:before="60" w:after="60"/>
              <w:jc w:val="center"/>
            </w:pPr>
            <w:r>
              <w:t>7,019</w:t>
            </w:r>
          </w:p>
        </w:tc>
        <w:tc>
          <w:tcPr>
            <w:tcW w:w="1267" w:type="dxa"/>
            <w:tcBorders>
              <w:top w:val="single" w:sz="8" w:space="0" w:color="auto"/>
              <w:left w:val="single" w:sz="8" w:space="0" w:color="auto"/>
              <w:bottom w:val="single" w:sz="12" w:space="0" w:color="auto"/>
              <w:right w:val="single" w:sz="8" w:space="0" w:color="auto"/>
            </w:tcBorders>
            <w:vAlign w:val="center"/>
          </w:tcPr>
          <w:p w:rsidR="00811F29" w:rsidRPr="002E7375" w:rsidRDefault="00811F29" w:rsidP="000C2AF7">
            <w:pPr>
              <w:widowControl w:val="0"/>
              <w:spacing w:before="60" w:after="60"/>
              <w:jc w:val="center"/>
            </w:pPr>
            <w:r>
              <w:t>606</w:t>
            </w:r>
          </w:p>
        </w:tc>
        <w:tc>
          <w:tcPr>
            <w:tcW w:w="1267" w:type="dxa"/>
            <w:tcBorders>
              <w:top w:val="single" w:sz="8" w:space="0" w:color="auto"/>
              <w:left w:val="single" w:sz="8" w:space="0" w:color="auto"/>
              <w:bottom w:val="single" w:sz="12" w:space="0" w:color="auto"/>
              <w:right w:val="single" w:sz="8" w:space="0" w:color="auto"/>
            </w:tcBorders>
            <w:vAlign w:val="center"/>
          </w:tcPr>
          <w:p w:rsidR="00811F29" w:rsidRPr="003E6E67" w:rsidRDefault="00811F29" w:rsidP="000C2AF7">
            <w:pPr>
              <w:widowControl w:val="0"/>
              <w:spacing w:before="60" w:after="60"/>
              <w:jc w:val="center"/>
            </w:pPr>
            <w:r>
              <w:t>100.8</w:t>
            </w:r>
          </w:p>
        </w:tc>
        <w:tc>
          <w:tcPr>
            <w:tcW w:w="1267" w:type="dxa"/>
            <w:tcBorders>
              <w:top w:val="single" w:sz="8" w:space="0" w:color="auto"/>
              <w:left w:val="single" w:sz="8" w:space="0" w:color="auto"/>
              <w:bottom w:val="single" w:sz="12" w:space="0" w:color="auto"/>
              <w:right w:val="single" w:sz="4" w:space="0" w:color="auto"/>
            </w:tcBorders>
            <w:vAlign w:val="center"/>
          </w:tcPr>
          <w:p w:rsidR="00811F29" w:rsidRPr="003E6E67" w:rsidRDefault="00811F29" w:rsidP="000C2AF7">
            <w:pPr>
              <w:widowControl w:val="0"/>
              <w:spacing w:before="60" w:after="60"/>
              <w:jc w:val="center"/>
            </w:pPr>
            <w:r w:rsidRPr="003E6E67">
              <w:t>-</w:t>
            </w:r>
          </w:p>
        </w:tc>
        <w:tc>
          <w:tcPr>
            <w:tcW w:w="1135" w:type="dxa"/>
            <w:tcBorders>
              <w:top w:val="single" w:sz="8" w:space="0" w:color="auto"/>
              <w:left w:val="single" w:sz="4" w:space="0" w:color="auto"/>
              <w:bottom w:val="single" w:sz="12" w:space="0" w:color="auto"/>
              <w:right w:val="single" w:sz="12" w:space="0" w:color="auto"/>
            </w:tcBorders>
            <w:vAlign w:val="center"/>
          </w:tcPr>
          <w:p w:rsidR="00811F29" w:rsidRPr="003E6E67" w:rsidRDefault="00811F29" w:rsidP="000C2AF7">
            <w:pPr>
              <w:widowControl w:val="0"/>
              <w:spacing w:before="60" w:after="60"/>
              <w:jc w:val="center"/>
            </w:pPr>
            <w:r>
              <w:t>62.4</w:t>
            </w:r>
          </w:p>
        </w:tc>
      </w:tr>
      <w:tr w:rsidR="00811F29" w:rsidRPr="002E7375" w:rsidTr="001F0774">
        <w:trPr>
          <w:trHeight w:val="843"/>
          <w:jc w:val="center"/>
        </w:trPr>
        <w:tc>
          <w:tcPr>
            <w:tcW w:w="9345" w:type="dxa"/>
            <w:gridSpan w:val="7"/>
            <w:tcBorders>
              <w:top w:val="single" w:sz="12" w:space="0" w:color="auto"/>
              <w:left w:val="single" w:sz="12" w:space="0" w:color="auto"/>
              <w:bottom w:val="single" w:sz="12" w:space="0" w:color="auto"/>
              <w:right w:val="single" w:sz="12" w:space="0" w:color="auto"/>
            </w:tcBorders>
            <w:vAlign w:val="center"/>
          </w:tcPr>
          <w:p w:rsidR="00811F29" w:rsidRDefault="006E7C65" w:rsidP="002049B1">
            <w:pPr>
              <w:numPr>
                <w:ilvl w:val="0"/>
                <w:numId w:val="8"/>
              </w:numPr>
              <w:autoSpaceDE w:val="0"/>
              <w:autoSpaceDN w:val="0"/>
              <w:adjustRightInd w:val="0"/>
              <w:spacing w:before="20"/>
              <w:rPr>
                <w:sz w:val="16"/>
                <w:szCs w:val="16"/>
              </w:rPr>
            </w:pPr>
            <w:bookmarkStart w:id="16" w:name="_Ref508790398"/>
            <w:r w:rsidRPr="00F575DA">
              <w:rPr>
                <w:sz w:val="16"/>
                <w:szCs w:val="16"/>
              </w:rPr>
              <w:t xml:space="preserve">The potential annual emissions resulting from this unit were estimated at </w:t>
            </w:r>
            <w:r w:rsidR="00F575DA" w:rsidRPr="00F575DA">
              <w:rPr>
                <w:sz w:val="16"/>
                <w:szCs w:val="16"/>
              </w:rPr>
              <w:t>baseload conditions with an</w:t>
            </w:r>
            <w:r w:rsidRPr="00F575DA">
              <w:rPr>
                <w:sz w:val="16"/>
                <w:szCs w:val="16"/>
              </w:rPr>
              <w:t xml:space="preserve"> ambient temperature of</w:t>
            </w:r>
            <w:r w:rsidR="00F46717">
              <w:rPr>
                <w:sz w:val="16"/>
                <w:szCs w:val="16"/>
              </w:rPr>
              <w:t xml:space="preserve"> 59°F with evaporative cooling and</w:t>
            </w:r>
            <w:r w:rsidRPr="00F575DA">
              <w:rPr>
                <w:sz w:val="16"/>
                <w:szCs w:val="16"/>
              </w:rPr>
              <w:t xml:space="preserve"> 4,000 hours per year of duct firing</w:t>
            </w:r>
            <w:r w:rsidR="00F575DA" w:rsidRPr="00F575DA">
              <w:rPr>
                <w:sz w:val="16"/>
                <w:szCs w:val="16"/>
              </w:rPr>
              <w:t>.</w:t>
            </w:r>
            <w:bookmarkEnd w:id="16"/>
          </w:p>
          <w:p w:rsidR="00233487" w:rsidRPr="00E52549" w:rsidRDefault="00A63AF3" w:rsidP="002049B1">
            <w:pPr>
              <w:numPr>
                <w:ilvl w:val="0"/>
                <w:numId w:val="8"/>
              </w:numPr>
              <w:autoSpaceDE w:val="0"/>
              <w:autoSpaceDN w:val="0"/>
              <w:adjustRightInd w:val="0"/>
              <w:spacing w:before="20"/>
              <w:rPr>
                <w:sz w:val="16"/>
                <w:szCs w:val="16"/>
              </w:rPr>
            </w:pPr>
            <w:bookmarkStart w:id="17" w:name="_Ref508796068"/>
            <w:r>
              <w:rPr>
                <w:sz w:val="16"/>
                <w:szCs w:val="16"/>
              </w:rPr>
              <w:t>The applicant considered a</w:t>
            </w:r>
            <w:r w:rsidR="00E52549" w:rsidRPr="00E52549">
              <w:rPr>
                <w:sz w:val="16"/>
                <w:szCs w:val="16"/>
              </w:rPr>
              <w:t>ll PM</w:t>
            </w:r>
            <w:r w:rsidR="00E52549" w:rsidRPr="00A63AF3">
              <w:rPr>
                <w:sz w:val="16"/>
                <w:szCs w:val="16"/>
                <w:vertAlign w:val="subscript"/>
              </w:rPr>
              <w:t>10</w:t>
            </w:r>
            <w:r w:rsidR="00E52549" w:rsidRPr="00E52549">
              <w:rPr>
                <w:sz w:val="16"/>
                <w:szCs w:val="16"/>
              </w:rPr>
              <w:t xml:space="preserve"> and PM</w:t>
            </w:r>
            <w:r w:rsidR="00E52549" w:rsidRPr="00A63AF3">
              <w:rPr>
                <w:sz w:val="16"/>
                <w:szCs w:val="16"/>
                <w:vertAlign w:val="subscript"/>
              </w:rPr>
              <w:t xml:space="preserve">2.5 </w:t>
            </w:r>
            <w:r w:rsidR="00E52549" w:rsidRPr="00E52549">
              <w:rPr>
                <w:sz w:val="16"/>
                <w:szCs w:val="16"/>
              </w:rPr>
              <w:t xml:space="preserve">emissions </w:t>
            </w:r>
            <w:r>
              <w:rPr>
                <w:sz w:val="16"/>
                <w:szCs w:val="16"/>
              </w:rPr>
              <w:t>to be</w:t>
            </w:r>
            <w:r w:rsidR="00E52549">
              <w:rPr>
                <w:sz w:val="16"/>
                <w:szCs w:val="16"/>
              </w:rPr>
              <w:t xml:space="preserve"> </w:t>
            </w:r>
            <w:r w:rsidR="00E52549" w:rsidRPr="00E52549">
              <w:rPr>
                <w:sz w:val="16"/>
                <w:szCs w:val="16"/>
              </w:rPr>
              <w:t>the same as PM emissions</w:t>
            </w:r>
            <w:r w:rsidR="00233487" w:rsidRPr="00E52549">
              <w:rPr>
                <w:sz w:val="16"/>
                <w:szCs w:val="16"/>
              </w:rPr>
              <w:t>.</w:t>
            </w:r>
            <w:bookmarkEnd w:id="17"/>
          </w:p>
          <w:p w:rsidR="00EC112B" w:rsidRPr="002E7375" w:rsidRDefault="005960E7" w:rsidP="002049B1">
            <w:pPr>
              <w:autoSpaceDE w:val="0"/>
              <w:autoSpaceDN w:val="0"/>
              <w:adjustRightInd w:val="0"/>
              <w:spacing w:before="20"/>
            </w:pPr>
            <w:r w:rsidRPr="005960E7">
              <w:rPr>
                <w:i/>
                <w:sz w:val="16"/>
              </w:rPr>
              <w:t>Note: Neg. = negligible</w:t>
            </w:r>
          </w:p>
        </w:tc>
      </w:tr>
    </w:tbl>
    <w:p w:rsidR="00E2799D" w:rsidRDefault="002E3095" w:rsidP="002E7375">
      <w:pPr>
        <w:widowControl w:val="0"/>
        <w:spacing w:before="120" w:after="120"/>
        <w:rPr>
          <w:sz w:val="22"/>
          <w:szCs w:val="22"/>
        </w:rPr>
      </w:pPr>
      <w:r w:rsidRPr="00290299">
        <w:rPr>
          <w:sz w:val="22"/>
          <w:szCs w:val="22"/>
        </w:rPr>
        <w:t xml:space="preserve">The project </w:t>
      </w:r>
      <w:r w:rsidR="003D2907" w:rsidRPr="00290299">
        <w:rPr>
          <w:sz w:val="22"/>
          <w:szCs w:val="22"/>
        </w:rPr>
        <w:t>is in</w:t>
      </w:r>
      <w:r w:rsidRPr="00290299">
        <w:rPr>
          <w:sz w:val="22"/>
          <w:szCs w:val="22"/>
        </w:rPr>
        <w:t xml:space="preserve"> </w:t>
      </w:r>
      <w:r w:rsidR="00EE1EA9" w:rsidRPr="00EE1EA9">
        <w:rPr>
          <w:sz w:val="22"/>
          <w:szCs w:val="22"/>
        </w:rPr>
        <w:t>Pasco</w:t>
      </w:r>
      <w:r w:rsidRPr="00290299">
        <w:rPr>
          <w:sz w:val="22"/>
          <w:szCs w:val="22"/>
        </w:rPr>
        <w:t xml:space="preserve"> County, which is in an area that is currently in attainment with the AAQS or otherwise designated as </w:t>
      </w:r>
      <w:r w:rsidRPr="00570950">
        <w:rPr>
          <w:sz w:val="22"/>
          <w:szCs w:val="22"/>
        </w:rPr>
        <w:t>unclassifiable</w:t>
      </w:r>
      <w:r w:rsidR="00AE7997">
        <w:rPr>
          <w:sz w:val="22"/>
          <w:szCs w:val="22"/>
        </w:rPr>
        <w:t xml:space="preserve">. </w:t>
      </w:r>
      <w:r w:rsidR="001968B6" w:rsidRPr="001968B6">
        <w:t xml:space="preserve"> </w:t>
      </w:r>
      <w:r w:rsidR="001968B6" w:rsidRPr="001968B6">
        <w:rPr>
          <w:sz w:val="22"/>
          <w:szCs w:val="22"/>
        </w:rPr>
        <w:t>The Project is also not located within an area of</w:t>
      </w:r>
      <w:r w:rsidR="00AE7997">
        <w:rPr>
          <w:sz w:val="22"/>
          <w:szCs w:val="22"/>
        </w:rPr>
        <w:t xml:space="preserve"> </w:t>
      </w:r>
      <w:r w:rsidR="001968B6" w:rsidRPr="001968B6">
        <w:rPr>
          <w:sz w:val="22"/>
          <w:szCs w:val="22"/>
        </w:rPr>
        <w:t xml:space="preserve">influence of a nonattainment area. </w:t>
      </w:r>
      <w:r w:rsidR="00AE7997">
        <w:rPr>
          <w:sz w:val="22"/>
          <w:szCs w:val="22"/>
        </w:rPr>
        <w:t xml:space="preserve"> </w:t>
      </w:r>
      <w:r w:rsidR="001968B6" w:rsidRPr="001968B6">
        <w:rPr>
          <w:sz w:val="22"/>
          <w:szCs w:val="22"/>
        </w:rPr>
        <w:t>Therefore, nonattainment New Source Review (NSR) requirements are</w:t>
      </w:r>
      <w:r w:rsidR="00AE7997">
        <w:rPr>
          <w:sz w:val="22"/>
          <w:szCs w:val="22"/>
        </w:rPr>
        <w:t xml:space="preserve"> not applicable</w:t>
      </w:r>
      <w:r w:rsidRPr="00570950">
        <w:rPr>
          <w:sz w:val="22"/>
          <w:szCs w:val="22"/>
        </w:rPr>
        <w:t xml:space="preserve">.  </w:t>
      </w:r>
      <w:r w:rsidR="00AE7997">
        <w:rPr>
          <w:sz w:val="22"/>
          <w:szCs w:val="22"/>
        </w:rPr>
        <w:t>However, t</w:t>
      </w:r>
      <w:r w:rsidRPr="00570950">
        <w:rPr>
          <w:sz w:val="22"/>
          <w:szCs w:val="22"/>
        </w:rPr>
        <w:t xml:space="preserve">he </w:t>
      </w:r>
      <w:r w:rsidR="00621A27">
        <w:rPr>
          <w:sz w:val="22"/>
          <w:szCs w:val="22"/>
        </w:rPr>
        <w:t>project</w:t>
      </w:r>
      <w:r w:rsidR="000052AF" w:rsidRPr="00570950">
        <w:rPr>
          <w:sz w:val="22"/>
          <w:szCs w:val="22"/>
        </w:rPr>
        <w:t xml:space="preserve"> emits or has the potential to emit </w:t>
      </w:r>
      <w:r w:rsidR="0079673B">
        <w:rPr>
          <w:sz w:val="22"/>
          <w:szCs w:val="22"/>
        </w:rPr>
        <w:t>above the SER for</w:t>
      </w:r>
      <w:r w:rsidR="000052AF" w:rsidRPr="00570950">
        <w:rPr>
          <w:sz w:val="22"/>
          <w:szCs w:val="22"/>
        </w:rPr>
        <w:t xml:space="preserve"> at least one PSD pollutant.  </w:t>
      </w:r>
      <w:r w:rsidRPr="00570950">
        <w:rPr>
          <w:sz w:val="22"/>
          <w:szCs w:val="22"/>
        </w:rPr>
        <w:t xml:space="preserve">Therefore, </w:t>
      </w:r>
      <w:r w:rsidR="000052AF" w:rsidRPr="00570950">
        <w:rPr>
          <w:sz w:val="22"/>
          <w:szCs w:val="22"/>
        </w:rPr>
        <w:t>the project is subject to a PSD applicability review</w:t>
      </w:r>
      <w:r w:rsidRPr="00570950">
        <w:rPr>
          <w:sz w:val="22"/>
          <w:szCs w:val="22"/>
        </w:rPr>
        <w:t xml:space="preserve">.  </w:t>
      </w:r>
      <w:r w:rsidR="001D113D" w:rsidRPr="001D113D">
        <w:rPr>
          <w:rFonts w:ascii="Times New Roman Bold" w:hAnsi="Times New Roman Bold"/>
          <w:b/>
          <w:sz w:val="22"/>
          <w:szCs w:val="22"/>
        </w:rPr>
        <w:fldChar w:fldCharType="begin"/>
      </w:r>
      <w:r w:rsidR="001D113D" w:rsidRPr="001D113D">
        <w:rPr>
          <w:rFonts w:ascii="Times New Roman Bold" w:hAnsi="Times New Roman Bold"/>
          <w:b/>
          <w:sz w:val="22"/>
          <w:szCs w:val="22"/>
        </w:rPr>
        <w:instrText xml:space="preserve"> REF _Ref513616582 \h </w:instrText>
      </w:r>
      <w:r w:rsidR="001D113D">
        <w:rPr>
          <w:rFonts w:ascii="Times New Roman Bold" w:hAnsi="Times New Roman Bold"/>
          <w:b/>
          <w:sz w:val="22"/>
          <w:szCs w:val="22"/>
        </w:rPr>
        <w:instrText xml:space="preserve"> \* MERGEFORMAT </w:instrText>
      </w:r>
      <w:r w:rsidR="001D113D" w:rsidRPr="001D113D">
        <w:rPr>
          <w:rFonts w:ascii="Times New Roman Bold" w:hAnsi="Times New Roman Bold"/>
          <w:b/>
          <w:sz w:val="22"/>
          <w:szCs w:val="22"/>
        </w:rPr>
      </w:r>
      <w:r w:rsidR="001D113D" w:rsidRPr="001D113D">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5</w:t>
      </w:r>
      <w:r w:rsidR="001D113D" w:rsidRPr="001D113D">
        <w:rPr>
          <w:rFonts w:ascii="Times New Roman Bold" w:hAnsi="Times New Roman Bold"/>
          <w:b/>
          <w:sz w:val="22"/>
          <w:szCs w:val="22"/>
        </w:rPr>
        <w:fldChar w:fldCharType="end"/>
      </w:r>
      <w:r w:rsidRPr="00290299">
        <w:rPr>
          <w:sz w:val="22"/>
          <w:szCs w:val="22"/>
        </w:rPr>
        <w:t xml:space="preserve"> identifies the </w:t>
      </w:r>
      <w:r w:rsidR="00156409">
        <w:rPr>
          <w:sz w:val="22"/>
          <w:szCs w:val="22"/>
        </w:rPr>
        <w:t xml:space="preserve">total </w:t>
      </w:r>
      <w:r w:rsidRPr="00290299">
        <w:rPr>
          <w:sz w:val="22"/>
          <w:szCs w:val="22"/>
        </w:rPr>
        <w:t xml:space="preserve">estimated emissions increases </w:t>
      </w:r>
      <w:r w:rsidR="00621A27">
        <w:rPr>
          <w:sz w:val="22"/>
          <w:szCs w:val="22"/>
        </w:rPr>
        <w:t xml:space="preserve">associated with the project </w:t>
      </w:r>
      <w:r w:rsidRPr="00290299">
        <w:rPr>
          <w:sz w:val="22"/>
          <w:szCs w:val="22"/>
        </w:rPr>
        <w:t>based on the initial application.</w:t>
      </w:r>
    </w:p>
    <w:p w:rsidR="00892FF3" w:rsidRDefault="001D113D" w:rsidP="001D113D">
      <w:pPr>
        <w:pStyle w:val="Caption"/>
        <w:spacing w:before="0"/>
        <w:jc w:val="center"/>
      </w:pPr>
      <w:bookmarkStart w:id="18" w:name="_Ref513616582"/>
      <w:r>
        <w:t xml:space="preserve">Table </w:t>
      </w:r>
      <w:fldSimple w:instr=" SEQ Table \* ARABIC ">
        <w:r w:rsidR="007204D0">
          <w:rPr>
            <w:noProof/>
          </w:rPr>
          <w:t>5</w:t>
        </w:r>
      </w:fldSimple>
      <w:bookmarkEnd w:id="18"/>
      <w:r>
        <w:t xml:space="preserve"> - </w:t>
      </w:r>
      <w:r w:rsidR="00892FF3" w:rsidRPr="00BC4996">
        <w:rPr>
          <w:szCs w:val="22"/>
        </w:rPr>
        <w:t xml:space="preserve">Summary of the Applicant’s PSD Applicability </w:t>
      </w:r>
      <w:r w:rsidR="00892FF3" w:rsidRPr="00BC4996">
        <w:t>Analysis</w:t>
      </w:r>
      <w:r>
        <w:t>.</w:t>
      </w:r>
    </w:p>
    <w:tbl>
      <w:tblPr>
        <w:tblW w:w="9452" w:type="dxa"/>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29" w:type="dxa"/>
          <w:left w:w="58" w:type="dxa"/>
          <w:bottom w:w="29" w:type="dxa"/>
          <w:right w:w="58" w:type="dxa"/>
        </w:tblCellMar>
        <w:tblLook w:val="0000" w:firstRow="0" w:lastRow="0" w:firstColumn="0" w:lastColumn="0" w:noHBand="0" w:noVBand="0"/>
      </w:tblPr>
      <w:tblGrid>
        <w:gridCol w:w="2099"/>
        <w:gridCol w:w="2746"/>
        <w:gridCol w:w="2520"/>
        <w:gridCol w:w="2087"/>
      </w:tblGrid>
      <w:tr w:rsidR="004351B0" w:rsidRPr="00A63ADA" w:rsidTr="001F0774">
        <w:trPr>
          <w:trHeight w:val="166"/>
          <w:jc w:val="center"/>
        </w:trPr>
        <w:tc>
          <w:tcPr>
            <w:tcW w:w="2099" w:type="dxa"/>
            <w:vMerge w:val="restart"/>
            <w:shd w:val="clear" w:color="auto" w:fill="B8CCE4" w:themeFill="accent1" w:themeFillTint="66"/>
            <w:vAlign w:val="center"/>
          </w:tcPr>
          <w:p w:rsidR="004351B0" w:rsidRPr="004351B0" w:rsidRDefault="004351B0" w:rsidP="00621A27">
            <w:pPr>
              <w:pStyle w:val="BodyText"/>
              <w:widowControl w:val="0"/>
              <w:spacing w:after="0"/>
              <w:jc w:val="center"/>
              <w:rPr>
                <w:b/>
                <w:sz w:val="20"/>
              </w:rPr>
            </w:pPr>
            <w:r w:rsidRPr="006A4F69">
              <w:rPr>
                <w:b/>
                <w:color w:val="000000"/>
                <w:sz w:val="20"/>
              </w:rPr>
              <w:t>Pollutant</w:t>
            </w:r>
          </w:p>
        </w:tc>
        <w:tc>
          <w:tcPr>
            <w:tcW w:w="5266" w:type="dxa"/>
            <w:gridSpan w:val="2"/>
            <w:shd w:val="clear" w:color="auto" w:fill="B8CCE4" w:themeFill="accent1" w:themeFillTint="66"/>
            <w:vAlign w:val="center"/>
          </w:tcPr>
          <w:p w:rsidR="004351B0" w:rsidRPr="004351B0" w:rsidRDefault="004351B0" w:rsidP="00621A27">
            <w:pPr>
              <w:pStyle w:val="BodyText"/>
              <w:widowControl w:val="0"/>
              <w:spacing w:after="0"/>
              <w:jc w:val="center"/>
              <w:rPr>
                <w:b/>
                <w:sz w:val="20"/>
              </w:rPr>
            </w:pPr>
            <w:r w:rsidRPr="004351B0">
              <w:rPr>
                <w:b/>
                <w:sz w:val="20"/>
              </w:rPr>
              <w:t>Annual Emissions, Tons/Year</w:t>
            </w:r>
          </w:p>
        </w:tc>
        <w:tc>
          <w:tcPr>
            <w:tcW w:w="2087" w:type="dxa"/>
            <w:vMerge w:val="restart"/>
            <w:shd w:val="clear" w:color="auto" w:fill="B8CCE4" w:themeFill="accent1" w:themeFillTint="66"/>
            <w:vAlign w:val="center"/>
          </w:tcPr>
          <w:p w:rsidR="004351B0" w:rsidRPr="004351B0" w:rsidRDefault="004351B0" w:rsidP="00621A27">
            <w:pPr>
              <w:pStyle w:val="BodyText"/>
              <w:widowControl w:val="0"/>
              <w:spacing w:after="0"/>
              <w:jc w:val="center"/>
              <w:rPr>
                <w:b/>
                <w:sz w:val="20"/>
              </w:rPr>
            </w:pPr>
            <w:r w:rsidRPr="004351B0">
              <w:rPr>
                <w:b/>
                <w:sz w:val="20"/>
              </w:rPr>
              <w:t>Subject to</w:t>
            </w:r>
            <w:r w:rsidR="006A4F69">
              <w:rPr>
                <w:b/>
                <w:sz w:val="20"/>
              </w:rPr>
              <w:t xml:space="preserve"> </w:t>
            </w:r>
            <w:r w:rsidRPr="004351B0">
              <w:rPr>
                <w:b/>
                <w:sz w:val="20"/>
              </w:rPr>
              <w:t>PSD?</w:t>
            </w:r>
          </w:p>
        </w:tc>
      </w:tr>
      <w:tr w:rsidR="00DA5E12" w:rsidRPr="00A63ADA" w:rsidTr="001F0774">
        <w:trPr>
          <w:trHeight w:val="211"/>
          <w:tblHeader/>
          <w:jc w:val="center"/>
        </w:trPr>
        <w:tc>
          <w:tcPr>
            <w:tcW w:w="2099" w:type="dxa"/>
            <w:vMerge/>
            <w:tcBorders>
              <w:bottom w:val="single" w:sz="12" w:space="0" w:color="auto"/>
            </w:tcBorders>
            <w:shd w:val="clear" w:color="auto" w:fill="B8CCE4" w:themeFill="accent1" w:themeFillTint="66"/>
            <w:vAlign w:val="center"/>
          </w:tcPr>
          <w:p w:rsidR="00DA5E12" w:rsidRPr="004351B0" w:rsidRDefault="00DA5E12" w:rsidP="00621A27">
            <w:pPr>
              <w:pStyle w:val="BodyText"/>
              <w:widowControl w:val="0"/>
              <w:spacing w:after="0"/>
              <w:jc w:val="center"/>
              <w:rPr>
                <w:b/>
                <w:sz w:val="20"/>
              </w:rPr>
            </w:pPr>
          </w:p>
        </w:tc>
        <w:tc>
          <w:tcPr>
            <w:tcW w:w="2746" w:type="dxa"/>
            <w:tcBorders>
              <w:left w:val="single" w:sz="8" w:space="0" w:color="auto"/>
              <w:bottom w:val="single" w:sz="12" w:space="0" w:color="auto"/>
              <w:right w:val="single" w:sz="8" w:space="0" w:color="auto"/>
            </w:tcBorders>
            <w:shd w:val="clear" w:color="auto" w:fill="B8CCE4" w:themeFill="accent1" w:themeFillTint="66"/>
            <w:vAlign w:val="center"/>
          </w:tcPr>
          <w:p w:rsidR="00DA5E12" w:rsidRPr="004351B0" w:rsidRDefault="00530A5B" w:rsidP="00621A27">
            <w:pPr>
              <w:pStyle w:val="BodyText"/>
              <w:widowControl w:val="0"/>
              <w:spacing w:after="0"/>
              <w:jc w:val="center"/>
              <w:rPr>
                <w:b/>
                <w:sz w:val="20"/>
              </w:rPr>
            </w:pPr>
            <w:r w:rsidRPr="00530A5B">
              <w:rPr>
                <w:b/>
                <w:sz w:val="20"/>
              </w:rPr>
              <w:t>Project Potential</w:t>
            </w:r>
            <w:r>
              <w:rPr>
                <w:b/>
                <w:sz w:val="20"/>
              </w:rPr>
              <w:t xml:space="preserve"> </w:t>
            </w:r>
            <w:r w:rsidRPr="00530A5B">
              <w:rPr>
                <w:b/>
                <w:sz w:val="20"/>
              </w:rPr>
              <w:t>Emissions</w:t>
            </w:r>
          </w:p>
        </w:tc>
        <w:tc>
          <w:tcPr>
            <w:tcW w:w="2520" w:type="dxa"/>
            <w:tcBorders>
              <w:left w:val="single" w:sz="8" w:space="0" w:color="auto"/>
              <w:bottom w:val="single" w:sz="12" w:space="0" w:color="auto"/>
            </w:tcBorders>
            <w:shd w:val="clear" w:color="auto" w:fill="B8CCE4" w:themeFill="accent1" w:themeFillTint="66"/>
            <w:vAlign w:val="center"/>
          </w:tcPr>
          <w:p w:rsidR="00DA5E12" w:rsidRPr="004351B0" w:rsidRDefault="00DA5E12" w:rsidP="00621A27">
            <w:pPr>
              <w:pStyle w:val="BodyText"/>
              <w:widowControl w:val="0"/>
              <w:spacing w:after="0"/>
              <w:jc w:val="center"/>
              <w:rPr>
                <w:b/>
                <w:sz w:val="20"/>
              </w:rPr>
            </w:pPr>
            <w:r w:rsidRPr="004351B0">
              <w:rPr>
                <w:b/>
                <w:sz w:val="20"/>
              </w:rPr>
              <w:t>Significant</w:t>
            </w:r>
            <w:r w:rsidR="000C2AF7">
              <w:rPr>
                <w:b/>
                <w:sz w:val="20"/>
              </w:rPr>
              <w:t xml:space="preserve"> </w:t>
            </w:r>
            <w:r w:rsidRPr="004351B0">
              <w:rPr>
                <w:b/>
                <w:sz w:val="20"/>
              </w:rPr>
              <w:t>Emission Rate</w:t>
            </w:r>
          </w:p>
        </w:tc>
        <w:tc>
          <w:tcPr>
            <w:tcW w:w="2087" w:type="dxa"/>
            <w:vMerge/>
            <w:tcBorders>
              <w:bottom w:val="single" w:sz="12" w:space="0" w:color="auto"/>
            </w:tcBorders>
            <w:vAlign w:val="center"/>
          </w:tcPr>
          <w:p w:rsidR="00DA5E12" w:rsidRPr="004351B0" w:rsidRDefault="00DA5E12" w:rsidP="00621A27">
            <w:pPr>
              <w:pStyle w:val="BodyText"/>
              <w:widowControl w:val="0"/>
              <w:spacing w:after="0"/>
              <w:jc w:val="center"/>
              <w:rPr>
                <w:b/>
                <w:sz w:val="20"/>
              </w:rPr>
            </w:pPr>
          </w:p>
        </w:tc>
      </w:tr>
      <w:tr w:rsidR="00DA5E12" w:rsidRPr="00A63ADA" w:rsidTr="001F0774">
        <w:trPr>
          <w:trHeight w:val="104"/>
          <w:jc w:val="center"/>
        </w:trPr>
        <w:tc>
          <w:tcPr>
            <w:tcW w:w="2099" w:type="dxa"/>
            <w:tcBorders>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CO</w:t>
            </w:r>
          </w:p>
        </w:tc>
        <w:tc>
          <w:tcPr>
            <w:tcW w:w="2746" w:type="dxa"/>
            <w:tcBorders>
              <w:left w:val="single" w:sz="8" w:space="0" w:color="auto"/>
              <w:bottom w:val="single" w:sz="8" w:space="0" w:color="auto"/>
              <w:right w:val="single" w:sz="8" w:space="0" w:color="auto"/>
            </w:tcBorders>
            <w:shd w:val="clear" w:color="auto" w:fill="DAEEF3"/>
          </w:tcPr>
          <w:p w:rsidR="00DA5E12" w:rsidRPr="004351B0" w:rsidRDefault="006A7075" w:rsidP="00621A27">
            <w:pPr>
              <w:pStyle w:val="BodyText"/>
              <w:widowControl w:val="0"/>
              <w:spacing w:after="0"/>
              <w:jc w:val="center"/>
              <w:rPr>
                <w:sz w:val="20"/>
              </w:rPr>
            </w:pPr>
            <w:r>
              <w:rPr>
                <w:sz w:val="20"/>
              </w:rPr>
              <w:t>187.5</w:t>
            </w:r>
          </w:p>
        </w:tc>
        <w:tc>
          <w:tcPr>
            <w:tcW w:w="2520" w:type="dxa"/>
            <w:tcBorders>
              <w:left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100</w:t>
            </w:r>
          </w:p>
        </w:tc>
        <w:tc>
          <w:tcPr>
            <w:tcW w:w="2087" w:type="dxa"/>
            <w:tcBorders>
              <w:bottom w:val="single" w:sz="8" w:space="0" w:color="auto"/>
            </w:tcBorders>
            <w:shd w:val="clear" w:color="auto" w:fill="DAEEF3"/>
          </w:tcPr>
          <w:p w:rsidR="00DA5E12" w:rsidRPr="004351B0" w:rsidRDefault="00DA5E12" w:rsidP="00621A27">
            <w:pPr>
              <w:pStyle w:val="BodyText"/>
              <w:widowControl w:val="0"/>
              <w:spacing w:after="0"/>
              <w:jc w:val="center"/>
              <w:rPr>
                <w:sz w:val="20"/>
              </w:rPr>
            </w:pPr>
            <w:r w:rsidRPr="004351B0">
              <w:rPr>
                <w:sz w:val="20"/>
              </w:rPr>
              <w:t>Yes</w:t>
            </w:r>
          </w:p>
        </w:tc>
      </w:tr>
      <w:tr w:rsidR="00DA5E12" w:rsidRPr="00A63ADA" w:rsidTr="001F0774">
        <w:trPr>
          <w:trHeight w:val="171"/>
          <w:jc w:val="center"/>
        </w:trPr>
        <w:tc>
          <w:tcPr>
            <w:tcW w:w="2099" w:type="dxa"/>
            <w:tcBorders>
              <w:top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NO</w:t>
            </w:r>
            <w:r w:rsidRPr="004351B0">
              <w:rPr>
                <w:sz w:val="20"/>
                <w:vertAlign w:val="subscript"/>
              </w:rPr>
              <w:t>X</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DA5E12" w:rsidRPr="004351B0" w:rsidRDefault="006A7075" w:rsidP="00621A27">
            <w:pPr>
              <w:pStyle w:val="BodyText"/>
              <w:widowControl w:val="0"/>
              <w:spacing w:after="0"/>
              <w:jc w:val="center"/>
              <w:rPr>
                <w:sz w:val="20"/>
              </w:rPr>
            </w:pPr>
            <w:r>
              <w:rPr>
                <w:sz w:val="20"/>
              </w:rPr>
              <w:t>126.2</w:t>
            </w:r>
          </w:p>
        </w:tc>
        <w:tc>
          <w:tcPr>
            <w:tcW w:w="2520" w:type="dxa"/>
            <w:tcBorders>
              <w:top w:val="single" w:sz="8" w:space="0" w:color="auto"/>
              <w:left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40</w:t>
            </w:r>
          </w:p>
        </w:tc>
        <w:tc>
          <w:tcPr>
            <w:tcW w:w="2087" w:type="dxa"/>
            <w:tcBorders>
              <w:top w:val="single" w:sz="8" w:space="0" w:color="auto"/>
              <w:bottom w:val="single" w:sz="8" w:space="0" w:color="auto"/>
            </w:tcBorders>
            <w:shd w:val="clear" w:color="auto" w:fill="DAEEF3"/>
            <w:vAlign w:val="center"/>
          </w:tcPr>
          <w:p w:rsidR="00DA5E12" w:rsidRPr="004351B0" w:rsidRDefault="00DA5E12" w:rsidP="00621A27">
            <w:pPr>
              <w:jc w:val="center"/>
            </w:pPr>
            <w:r w:rsidRPr="004351B0">
              <w:t>Yes</w:t>
            </w:r>
          </w:p>
        </w:tc>
      </w:tr>
      <w:tr w:rsidR="00DA5E12" w:rsidRPr="00A63ADA" w:rsidTr="001F0774">
        <w:trPr>
          <w:trHeight w:val="139"/>
          <w:jc w:val="center"/>
        </w:trPr>
        <w:tc>
          <w:tcPr>
            <w:tcW w:w="2099" w:type="dxa"/>
            <w:tcBorders>
              <w:top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PM</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DA5E12" w:rsidRPr="004351B0" w:rsidRDefault="006A7075" w:rsidP="00621A27">
            <w:pPr>
              <w:pStyle w:val="BodyText"/>
              <w:widowControl w:val="0"/>
              <w:spacing w:after="0"/>
              <w:jc w:val="center"/>
              <w:rPr>
                <w:sz w:val="20"/>
              </w:rPr>
            </w:pPr>
            <w:r>
              <w:rPr>
                <w:sz w:val="20"/>
              </w:rPr>
              <w:t>76.0</w:t>
            </w:r>
          </w:p>
        </w:tc>
        <w:tc>
          <w:tcPr>
            <w:tcW w:w="2520" w:type="dxa"/>
            <w:tcBorders>
              <w:top w:val="single" w:sz="8" w:space="0" w:color="auto"/>
              <w:left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25</w:t>
            </w:r>
          </w:p>
        </w:tc>
        <w:tc>
          <w:tcPr>
            <w:tcW w:w="2087" w:type="dxa"/>
            <w:tcBorders>
              <w:top w:val="single" w:sz="8" w:space="0" w:color="auto"/>
              <w:bottom w:val="single" w:sz="8" w:space="0" w:color="auto"/>
            </w:tcBorders>
            <w:shd w:val="clear" w:color="auto" w:fill="DAEEF3"/>
            <w:vAlign w:val="center"/>
          </w:tcPr>
          <w:p w:rsidR="00DA5E12" w:rsidRPr="004351B0" w:rsidRDefault="00DA5E12" w:rsidP="00621A27">
            <w:pPr>
              <w:jc w:val="center"/>
            </w:pPr>
            <w:r w:rsidRPr="004351B0">
              <w:t>Yes</w:t>
            </w:r>
          </w:p>
        </w:tc>
      </w:tr>
      <w:tr w:rsidR="006A7075" w:rsidRPr="00A63ADA" w:rsidTr="001F0774">
        <w:trPr>
          <w:trHeight w:val="206"/>
          <w:jc w:val="center"/>
        </w:trPr>
        <w:tc>
          <w:tcPr>
            <w:tcW w:w="2099" w:type="dxa"/>
            <w:tcBorders>
              <w:top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PM</w:t>
            </w:r>
            <w:r w:rsidRPr="004351B0">
              <w:rPr>
                <w:sz w:val="20"/>
                <w:vertAlign w:val="subscript"/>
              </w:rPr>
              <w:t>10</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6A7075" w:rsidRPr="004351B0" w:rsidRDefault="006A7075" w:rsidP="00621A27">
            <w:pPr>
              <w:pStyle w:val="BodyText"/>
              <w:widowControl w:val="0"/>
              <w:spacing w:after="0"/>
              <w:jc w:val="center"/>
              <w:rPr>
                <w:sz w:val="20"/>
              </w:rPr>
            </w:pPr>
            <w:r>
              <w:rPr>
                <w:sz w:val="20"/>
              </w:rPr>
              <w:t>63.1</w:t>
            </w:r>
          </w:p>
        </w:tc>
        <w:tc>
          <w:tcPr>
            <w:tcW w:w="2520" w:type="dxa"/>
            <w:tcBorders>
              <w:top w:val="single" w:sz="8" w:space="0" w:color="auto"/>
              <w:left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15</w:t>
            </w:r>
          </w:p>
        </w:tc>
        <w:tc>
          <w:tcPr>
            <w:tcW w:w="2087" w:type="dxa"/>
            <w:tcBorders>
              <w:top w:val="single" w:sz="8" w:space="0" w:color="auto"/>
              <w:bottom w:val="single" w:sz="8" w:space="0" w:color="auto"/>
            </w:tcBorders>
            <w:shd w:val="clear" w:color="auto" w:fill="DAEEF3"/>
          </w:tcPr>
          <w:p w:rsidR="006A7075" w:rsidRPr="004351B0" w:rsidRDefault="006A7075" w:rsidP="00621A27">
            <w:pPr>
              <w:pStyle w:val="BodyText"/>
              <w:widowControl w:val="0"/>
              <w:spacing w:after="0"/>
              <w:jc w:val="center"/>
              <w:rPr>
                <w:sz w:val="20"/>
              </w:rPr>
            </w:pPr>
            <w:r w:rsidRPr="004351B0">
              <w:rPr>
                <w:sz w:val="20"/>
              </w:rPr>
              <w:t>Yes</w:t>
            </w:r>
          </w:p>
        </w:tc>
      </w:tr>
      <w:tr w:rsidR="006A7075" w:rsidRPr="00A63ADA" w:rsidTr="001F0774">
        <w:trPr>
          <w:trHeight w:val="206"/>
          <w:jc w:val="center"/>
        </w:trPr>
        <w:tc>
          <w:tcPr>
            <w:tcW w:w="2099" w:type="dxa"/>
            <w:tcBorders>
              <w:top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PM</w:t>
            </w:r>
            <w:r w:rsidRPr="004351B0">
              <w:rPr>
                <w:sz w:val="20"/>
                <w:vertAlign w:val="subscript"/>
              </w:rPr>
              <w:t>2.5</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6A7075" w:rsidRPr="004351B0" w:rsidRDefault="006A7075" w:rsidP="00621A27">
            <w:pPr>
              <w:pStyle w:val="BodyText"/>
              <w:widowControl w:val="0"/>
              <w:spacing w:after="0"/>
              <w:jc w:val="center"/>
              <w:rPr>
                <w:sz w:val="20"/>
              </w:rPr>
            </w:pPr>
            <w:r>
              <w:rPr>
                <w:sz w:val="20"/>
              </w:rPr>
              <w:t>59.9</w:t>
            </w:r>
          </w:p>
        </w:tc>
        <w:tc>
          <w:tcPr>
            <w:tcW w:w="2520" w:type="dxa"/>
            <w:tcBorders>
              <w:top w:val="single" w:sz="8" w:space="0" w:color="auto"/>
              <w:left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10</w:t>
            </w:r>
          </w:p>
        </w:tc>
        <w:tc>
          <w:tcPr>
            <w:tcW w:w="2087" w:type="dxa"/>
            <w:tcBorders>
              <w:top w:val="single" w:sz="8" w:space="0" w:color="auto"/>
              <w:bottom w:val="single" w:sz="8" w:space="0" w:color="auto"/>
            </w:tcBorders>
            <w:shd w:val="clear" w:color="auto" w:fill="DAEEF3"/>
            <w:vAlign w:val="center"/>
          </w:tcPr>
          <w:p w:rsidR="006A7075" w:rsidRPr="004351B0" w:rsidRDefault="006A7075" w:rsidP="00621A27">
            <w:pPr>
              <w:jc w:val="center"/>
            </w:pPr>
            <w:r w:rsidRPr="004351B0">
              <w:t>Yes</w:t>
            </w:r>
          </w:p>
        </w:tc>
      </w:tr>
      <w:tr w:rsidR="006A7075" w:rsidRPr="00A63ADA" w:rsidTr="001F0774">
        <w:trPr>
          <w:trHeight w:val="206"/>
          <w:jc w:val="center"/>
        </w:trPr>
        <w:tc>
          <w:tcPr>
            <w:tcW w:w="2099" w:type="dxa"/>
            <w:tcBorders>
              <w:top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SO</w:t>
            </w:r>
            <w:r w:rsidRPr="004351B0">
              <w:rPr>
                <w:sz w:val="20"/>
                <w:vertAlign w:val="subscript"/>
              </w:rPr>
              <w:t>2</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6A7075" w:rsidRPr="004351B0" w:rsidRDefault="006A7075" w:rsidP="00621A27">
            <w:pPr>
              <w:pStyle w:val="BodyText"/>
              <w:widowControl w:val="0"/>
              <w:spacing w:after="0"/>
              <w:jc w:val="center"/>
              <w:rPr>
                <w:sz w:val="20"/>
              </w:rPr>
            </w:pPr>
            <w:r>
              <w:rPr>
                <w:sz w:val="20"/>
              </w:rPr>
              <w:t>90.9</w:t>
            </w:r>
          </w:p>
        </w:tc>
        <w:tc>
          <w:tcPr>
            <w:tcW w:w="2520" w:type="dxa"/>
            <w:tcBorders>
              <w:top w:val="single" w:sz="8" w:space="0" w:color="auto"/>
              <w:left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40</w:t>
            </w:r>
          </w:p>
        </w:tc>
        <w:tc>
          <w:tcPr>
            <w:tcW w:w="2087" w:type="dxa"/>
            <w:tcBorders>
              <w:top w:val="single" w:sz="8" w:space="0" w:color="auto"/>
              <w:bottom w:val="single" w:sz="8" w:space="0" w:color="auto"/>
            </w:tcBorders>
            <w:shd w:val="clear" w:color="auto" w:fill="DAEEF3"/>
            <w:vAlign w:val="center"/>
          </w:tcPr>
          <w:p w:rsidR="006A7075" w:rsidRPr="004351B0" w:rsidRDefault="006A7075" w:rsidP="00621A27">
            <w:pPr>
              <w:jc w:val="center"/>
            </w:pPr>
            <w:r w:rsidRPr="004351B0">
              <w:t>Yes</w:t>
            </w:r>
          </w:p>
        </w:tc>
      </w:tr>
      <w:tr w:rsidR="00DA5E12" w:rsidRPr="00A63ADA" w:rsidTr="001F0774">
        <w:trPr>
          <w:trHeight w:val="150"/>
          <w:jc w:val="center"/>
        </w:trPr>
        <w:tc>
          <w:tcPr>
            <w:tcW w:w="2099" w:type="dxa"/>
            <w:tcBorders>
              <w:top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VOC</w:t>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DA5E12" w:rsidRPr="004351B0" w:rsidRDefault="006A7075" w:rsidP="00621A27">
            <w:pPr>
              <w:pStyle w:val="BodyText"/>
              <w:widowControl w:val="0"/>
              <w:spacing w:after="0"/>
              <w:jc w:val="center"/>
              <w:rPr>
                <w:sz w:val="20"/>
              </w:rPr>
            </w:pPr>
            <w:r>
              <w:rPr>
                <w:sz w:val="20"/>
              </w:rPr>
              <w:t>32.0</w:t>
            </w:r>
          </w:p>
        </w:tc>
        <w:tc>
          <w:tcPr>
            <w:tcW w:w="2520" w:type="dxa"/>
            <w:tcBorders>
              <w:top w:val="single" w:sz="8" w:space="0" w:color="auto"/>
              <w:left w:val="single" w:sz="8" w:space="0" w:color="auto"/>
              <w:bottom w:val="single" w:sz="8" w:space="0" w:color="auto"/>
            </w:tcBorders>
          </w:tcPr>
          <w:p w:rsidR="00DA5E12" w:rsidRPr="004351B0" w:rsidRDefault="00DA5E12" w:rsidP="00621A27">
            <w:pPr>
              <w:pStyle w:val="BodyText"/>
              <w:widowControl w:val="0"/>
              <w:spacing w:after="0"/>
              <w:jc w:val="center"/>
              <w:rPr>
                <w:sz w:val="20"/>
              </w:rPr>
            </w:pPr>
            <w:r w:rsidRPr="004351B0">
              <w:rPr>
                <w:sz w:val="20"/>
              </w:rPr>
              <w:t>40</w:t>
            </w:r>
          </w:p>
        </w:tc>
        <w:tc>
          <w:tcPr>
            <w:tcW w:w="2087" w:type="dxa"/>
            <w:tcBorders>
              <w:top w:val="single" w:sz="8" w:space="0" w:color="auto"/>
              <w:bottom w:val="single" w:sz="8" w:space="0" w:color="auto"/>
            </w:tcBorders>
            <w:shd w:val="clear" w:color="auto" w:fill="DAEEF3"/>
            <w:vAlign w:val="center"/>
          </w:tcPr>
          <w:p w:rsidR="00DA5E12" w:rsidRPr="004351B0" w:rsidRDefault="00DA5E12" w:rsidP="00621A27">
            <w:pPr>
              <w:jc w:val="center"/>
            </w:pPr>
            <w:r w:rsidRPr="004351B0">
              <w:t>No</w:t>
            </w:r>
          </w:p>
        </w:tc>
      </w:tr>
      <w:tr w:rsidR="006A7075" w:rsidRPr="00A63ADA" w:rsidTr="001F0774">
        <w:trPr>
          <w:trHeight w:val="150"/>
          <w:jc w:val="center"/>
        </w:trPr>
        <w:tc>
          <w:tcPr>
            <w:tcW w:w="2099" w:type="dxa"/>
            <w:tcBorders>
              <w:top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GHG</w:t>
            </w:r>
            <w:r w:rsidR="00650014" w:rsidRPr="00650014">
              <w:rPr>
                <w:sz w:val="20"/>
                <w:vertAlign w:val="superscript"/>
              </w:rPr>
              <w:t xml:space="preserve"> </w:t>
            </w:r>
            <w:r w:rsidR="00650014" w:rsidRPr="00650014">
              <w:rPr>
                <w:sz w:val="20"/>
                <w:vertAlign w:val="superscript"/>
              </w:rPr>
              <w:fldChar w:fldCharType="begin"/>
            </w:r>
            <w:r w:rsidR="00650014" w:rsidRPr="00650014">
              <w:rPr>
                <w:sz w:val="20"/>
                <w:vertAlign w:val="superscript"/>
              </w:rPr>
              <w:instrText xml:space="preserve"> REF _Ref508871821 \r \h </w:instrText>
            </w:r>
            <w:r w:rsidR="00650014">
              <w:rPr>
                <w:sz w:val="20"/>
                <w:vertAlign w:val="superscript"/>
              </w:rPr>
              <w:instrText xml:space="preserve"> \* MERGEFORMAT </w:instrText>
            </w:r>
            <w:r w:rsidR="00650014" w:rsidRPr="00650014">
              <w:rPr>
                <w:sz w:val="20"/>
                <w:vertAlign w:val="superscript"/>
              </w:rPr>
            </w:r>
            <w:r w:rsidR="00650014" w:rsidRPr="00650014">
              <w:rPr>
                <w:sz w:val="20"/>
                <w:vertAlign w:val="superscript"/>
              </w:rPr>
              <w:fldChar w:fldCharType="separate"/>
            </w:r>
            <w:r w:rsidR="003E3FA4">
              <w:rPr>
                <w:sz w:val="20"/>
                <w:vertAlign w:val="superscript"/>
              </w:rPr>
              <w:t>a</w:t>
            </w:r>
            <w:r w:rsidR="00650014" w:rsidRPr="00650014">
              <w:rPr>
                <w:sz w:val="20"/>
                <w:vertAlign w:val="superscript"/>
              </w:rPr>
              <w:fldChar w:fldCharType="end"/>
            </w:r>
          </w:p>
        </w:tc>
        <w:tc>
          <w:tcPr>
            <w:tcW w:w="2746" w:type="dxa"/>
            <w:tcBorders>
              <w:top w:val="single" w:sz="8" w:space="0" w:color="auto"/>
              <w:left w:val="single" w:sz="8" w:space="0" w:color="auto"/>
              <w:bottom w:val="single" w:sz="8" w:space="0" w:color="auto"/>
              <w:right w:val="single" w:sz="8" w:space="0" w:color="auto"/>
            </w:tcBorders>
            <w:shd w:val="clear" w:color="auto" w:fill="DAEEF3"/>
          </w:tcPr>
          <w:p w:rsidR="006A7075" w:rsidRPr="004351B0" w:rsidRDefault="006A7075" w:rsidP="00621A27">
            <w:pPr>
              <w:pStyle w:val="BodyText"/>
              <w:widowControl w:val="0"/>
              <w:spacing w:after="0"/>
              <w:jc w:val="center"/>
              <w:rPr>
                <w:sz w:val="20"/>
              </w:rPr>
            </w:pPr>
            <w:r>
              <w:rPr>
                <w:sz w:val="20"/>
              </w:rPr>
              <w:t>1,885,409</w:t>
            </w:r>
          </w:p>
        </w:tc>
        <w:tc>
          <w:tcPr>
            <w:tcW w:w="2520" w:type="dxa"/>
            <w:tcBorders>
              <w:top w:val="single" w:sz="8" w:space="0" w:color="auto"/>
              <w:left w:val="single" w:sz="8" w:space="0" w:color="auto"/>
              <w:bottom w:val="single" w:sz="8" w:space="0" w:color="auto"/>
            </w:tcBorders>
          </w:tcPr>
          <w:p w:rsidR="006A7075" w:rsidRPr="004351B0" w:rsidRDefault="006A7075" w:rsidP="00621A27">
            <w:pPr>
              <w:pStyle w:val="BodyText"/>
              <w:widowControl w:val="0"/>
              <w:spacing w:after="0"/>
              <w:jc w:val="center"/>
              <w:rPr>
                <w:sz w:val="20"/>
              </w:rPr>
            </w:pPr>
            <w:r w:rsidRPr="004351B0">
              <w:rPr>
                <w:sz w:val="20"/>
              </w:rPr>
              <w:t>75,000</w:t>
            </w:r>
          </w:p>
        </w:tc>
        <w:tc>
          <w:tcPr>
            <w:tcW w:w="2087" w:type="dxa"/>
            <w:tcBorders>
              <w:top w:val="single" w:sz="8" w:space="0" w:color="auto"/>
              <w:bottom w:val="single" w:sz="8" w:space="0" w:color="auto"/>
            </w:tcBorders>
            <w:shd w:val="clear" w:color="auto" w:fill="DAEEF3"/>
            <w:vAlign w:val="center"/>
          </w:tcPr>
          <w:p w:rsidR="006A7075" w:rsidRPr="004351B0" w:rsidRDefault="006A7075" w:rsidP="00621A27">
            <w:pPr>
              <w:jc w:val="center"/>
            </w:pPr>
            <w:r w:rsidRPr="004351B0">
              <w:t>Yes</w:t>
            </w:r>
          </w:p>
        </w:tc>
      </w:tr>
      <w:tr w:rsidR="006A7075" w:rsidRPr="00A63ADA" w:rsidTr="001F0774">
        <w:trPr>
          <w:trHeight w:val="150"/>
          <w:jc w:val="center"/>
        </w:trPr>
        <w:tc>
          <w:tcPr>
            <w:tcW w:w="2099" w:type="dxa"/>
            <w:tcBorders>
              <w:top w:val="single" w:sz="8" w:space="0" w:color="auto"/>
              <w:bottom w:val="single" w:sz="12" w:space="0" w:color="auto"/>
            </w:tcBorders>
          </w:tcPr>
          <w:p w:rsidR="006A7075" w:rsidRPr="004351B0" w:rsidRDefault="006A7075" w:rsidP="00621A27">
            <w:pPr>
              <w:pStyle w:val="BodyText"/>
              <w:widowControl w:val="0"/>
              <w:spacing w:after="0"/>
              <w:jc w:val="center"/>
              <w:rPr>
                <w:sz w:val="20"/>
              </w:rPr>
            </w:pPr>
            <w:r>
              <w:rPr>
                <w:sz w:val="20"/>
              </w:rPr>
              <w:t>SAM</w:t>
            </w:r>
          </w:p>
        </w:tc>
        <w:tc>
          <w:tcPr>
            <w:tcW w:w="2746" w:type="dxa"/>
            <w:tcBorders>
              <w:top w:val="single" w:sz="8" w:space="0" w:color="auto"/>
              <w:left w:val="single" w:sz="8" w:space="0" w:color="auto"/>
              <w:bottom w:val="single" w:sz="12" w:space="0" w:color="auto"/>
              <w:right w:val="single" w:sz="8" w:space="0" w:color="auto"/>
            </w:tcBorders>
            <w:shd w:val="clear" w:color="auto" w:fill="DAEEF3"/>
          </w:tcPr>
          <w:p w:rsidR="006A7075" w:rsidRPr="004351B0" w:rsidRDefault="006A7075" w:rsidP="00621A27">
            <w:pPr>
              <w:pStyle w:val="BodyText"/>
              <w:widowControl w:val="0"/>
              <w:spacing w:after="0"/>
              <w:jc w:val="center"/>
              <w:rPr>
                <w:sz w:val="20"/>
              </w:rPr>
            </w:pPr>
            <w:r>
              <w:rPr>
                <w:sz w:val="20"/>
              </w:rPr>
              <w:t>15.2</w:t>
            </w:r>
          </w:p>
        </w:tc>
        <w:tc>
          <w:tcPr>
            <w:tcW w:w="2520" w:type="dxa"/>
            <w:tcBorders>
              <w:top w:val="single" w:sz="8" w:space="0" w:color="auto"/>
              <w:left w:val="single" w:sz="8" w:space="0" w:color="auto"/>
              <w:bottom w:val="single" w:sz="12" w:space="0" w:color="auto"/>
            </w:tcBorders>
          </w:tcPr>
          <w:p w:rsidR="006A7075" w:rsidRPr="004351B0" w:rsidRDefault="006A7075" w:rsidP="00621A27">
            <w:pPr>
              <w:pStyle w:val="BodyText"/>
              <w:widowControl w:val="0"/>
              <w:spacing w:after="0"/>
              <w:jc w:val="center"/>
              <w:rPr>
                <w:sz w:val="20"/>
              </w:rPr>
            </w:pPr>
            <w:r>
              <w:rPr>
                <w:sz w:val="20"/>
              </w:rPr>
              <w:t>7</w:t>
            </w:r>
          </w:p>
        </w:tc>
        <w:tc>
          <w:tcPr>
            <w:tcW w:w="2087" w:type="dxa"/>
            <w:tcBorders>
              <w:top w:val="single" w:sz="8" w:space="0" w:color="auto"/>
              <w:bottom w:val="single" w:sz="12" w:space="0" w:color="auto"/>
            </w:tcBorders>
            <w:shd w:val="clear" w:color="auto" w:fill="DAEEF3"/>
            <w:vAlign w:val="center"/>
          </w:tcPr>
          <w:p w:rsidR="006A7075" w:rsidRPr="004351B0" w:rsidRDefault="006A7075" w:rsidP="00621A27">
            <w:pPr>
              <w:jc w:val="center"/>
            </w:pPr>
            <w:r w:rsidRPr="004351B0">
              <w:t>Yes</w:t>
            </w:r>
          </w:p>
        </w:tc>
      </w:tr>
      <w:tr w:rsidR="00F653C1" w:rsidRPr="00A63ADA" w:rsidTr="001F0774">
        <w:trPr>
          <w:trHeight w:val="139"/>
          <w:jc w:val="center"/>
        </w:trPr>
        <w:tc>
          <w:tcPr>
            <w:tcW w:w="9452" w:type="dxa"/>
            <w:gridSpan w:val="4"/>
            <w:tcBorders>
              <w:top w:val="single" w:sz="12" w:space="0" w:color="auto"/>
              <w:bottom w:val="single" w:sz="12" w:space="0" w:color="auto"/>
            </w:tcBorders>
          </w:tcPr>
          <w:p w:rsidR="00F653C1" w:rsidRPr="00545DE4" w:rsidRDefault="00FD2523" w:rsidP="000E68D7">
            <w:pPr>
              <w:pStyle w:val="ListParagraph"/>
              <w:numPr>
                <w:ilvl w:val="0"/>
                <w:numId w:val="10"/>
              </w:numPr>
              <w:autoSpaceDE w:val="0"/>
              <w:autoSpaceDN w:val="0"/>
              <w:adjustRightInd w:val="0"/>
              <w:spacing w:before="20"/>
              <w:rPr>
                <w:sz w:val="16"/>
                <w:szCs w:val="16"/>
              </w:rPr>
            </w:pPr>
            <w:bookmarkStart w:id="19" w:name="_Ref508871821"/>
            <w:r w:rsidRPr="00545DE4">
              <w:rPr>
                <w:sz w:val="16"/>
                <w:szCs w:val="16"/>
              </w:rPr>
              <w:t>Threshold applies only if PSD review triggered for regulated air pollutants other than GHG</w:t>
            </w:r>
            <w:bookmarkEnd w:id="19"/>
          </w:p>
        </w:tc>
      </w:tr>
    </w:tbl>
    <w:p w:rsidR="005601DE" w:rsidRDefault="002E3095" w:rsidP="00962BE4">
      <w:pPr>
        <w:pStyle w:val="BodyTextIndent"/>
        <w:widowControl w:val="0"/>
        <w:spacing w:before="120"/>
        <w:ind w:left="0"/>
        <w:rPr>
          <w:sz w:val="22"/>
          <w:szCs w:val="22"/>
        </w:rPr>
      </w:pPr>
      <w:r w:rsidRPr="00290299">
        <w:rPr>
          <w:sz w:val="22"/>
          <w:szCs w:val="22"/>
        </w:rPr>
        <w:t xml:space="preserve">As shown in the </w:t>
      </w:r>
      <w:r w:rsidR="00621A27" w:rsidRPr="001D113D">
        <w:rPr>
          <w:rFonts w:ascii="Times New Roman Bold" w:hAnsi="Times New Roman Bold"/>
          <w:b/>
          <w:sz w:val="22"/>
          <w:szCs w:val="22"/>
        </w:rPr>
        <w:fldChar w:fldCharType="begin"/>
      </w:r>
      <w:r w:rsidR="00621A27" w:rsidRPr="001D113D">
        <w:rPr>
          <w:rFonts w:ascii="Times New Roman Bold" w:hAnsi="Times New Roman Bold"/>
          <w:b/>
          <w:sz w:val="22"/>
          <w:szCs w:val="22"/>
        </w:rPr>
        <w:instrText xml:space="preserve"> REF _Ref513616582 \h </w:instrText>
      </w:r>
      <w:r w:rsidR="00621A27">
        <w:rPr>
          <w:rFonts w:ascii="Times New Roman Bold" w:hAnsi="Times New Roman Bold"/>
          <w:b/>
          <w:sz w:val="22"/>
          <w:szCs w:val="22"/>
        </w:rPr>
        <w:instrText xml:space="preserve"> \* MERGEFORMAT </w:instrText>
      </w:r>
      <w:r w:rsidR="00621A27" w:rsidRPr="001D113D">
        <w:rPr>
          <w:rFonts w:ascii="Times New Roman Bold" w:hAnsi="Times New Roman Bold"/>
          <w:b/>
          <w:sz w:val="22"/>
          <w:szCs w:val="22"/>
        </w:rPr>
      </w:r>
      <w:r w:rsidR="00621A27" w:rsidRPr="001D113D">
        <w:rPr>
          <w:rFonts w:ascii="Times New Roman Bold" w:hAnsi="Times New Roman Bold"/>
          <w:b/>
          <w:sz w:val="22"/>
          <w:szCs w:val="22"/>
        </w:rPr>
        <w:fldChar w:fldCharType="separate"/>
      </w:r>
      <w:r w:rsidR="00621A27" w:rsidRPr="003E3FA4">
        <w:rPr>
          <w:rFonts w:ascii="Times New Roman Bold" w:hAnsi="Times New Roman Bold"/>
          <w:b/>
          <w:sz w:val="22"/>
        </w:rPr>
        <w:t xml:space="preserve">Table </w:t>
      </w:r>
      <w:r w:rsidR="00621A27" w:rsidRPr="003E3FA4">
        <w:rPr>
          <w:rFonts w:ascii="Times New Roman Bold" w:hAnsi="Times New Roman Bold"/>
          <w:b/>
          <w:noProof/>
          <w:sz w:val="22"/>
        </w:rPr>
        <w:t>5</w:t>
      </w:r>
      <w:r w:rsidR="00621A27" w:rsidRPr="001D113D">
        <w:rPr>
          <w:rFonts w:ascii="Times New Roman Bold" w:hAnsi="Times New Roman Bold"/>
          <w:b/>
          <w:sz w:val="22"/>
          <w:szCs w:val="22"/>
        </w:rPr>
        <w:fldChar w:fldCharType="end"/>
      </w:r>
      <w:r w:rsidRPr="00290299">
        <w:rPr>
          <w:sz w:val="22"/>
          <w:szCs w:val="22"/>
        </w:rPr>
        <w:t>, the project is subject to PSD preconstruction review for emissions of</w:t>
      </w:r>
      <w:r w:rsidR="00D04756">
        <w:rPr>
          <w:sz w:val="22"/>
          <w:szCs w:val="22"/>
        </w:rPr>
        <w:t xml:space="preserve">:  </w:t>
      </w:r>
      <w:r w:rsidR="009D7B6F">
        <w:rPr>
          <w:sz w:val="22"/>
          <w:szCs w:val="22"/>
        </w:rPr>
        <w:t xml:space="preserve">CO, </w:t>
      </w:r>
      <w:r w:rsidR="008524D5">
        <w:rPr>
          <w:sz w:val="22"/>
          <w:szCs w:val="22"/>
        </w:rPr>
        <w:t>NO</w:t>
      </w:r>
      <w:r w:rsidR="008524D5" w:rsidRPr="008524D5">
        <w:rPr>
          <w:sz w:val="22"/>
          <w:szCs w:val="22"/>
          <w:vertAlign w:val="subscript"/>
        </w:rPr>
        <w:t>X</w:t>
      </w:r>
      <w:r w:rsidR="008524D5">
        <w:rPr>
          <w:sz w:val="22"/>
          <w:szCs w:val="22"/>
        </w:rPr>
        <w:t xml:space="preserve">, </w:t>
      </w:r>
      <w:r w:rsidR="009D7B6F">
        <w:rPr>
          <w:sz w:val="22"/>
          <w:szCs w:val="22"/>
        </w:rPr>
        <w:lastRenderedPageBreak/>
        <w:t>PM/PM</w:t>
      </w:r>
      <w:r w:rsidR="009D7B6F" w:rsidRPr="00E27A59">
        <w:rPr>
          <w:sz w:val="22"/>
          <w:szCs w:val="22"/>
          <w:vertAlign w:val="subscript"/>
        </w:rPr>
        <w:t>10</w:t>
      </w:r>
      <w:r w:rsidR="009D7B6F">
        <w:rPr>
          <w:sz w:val="22"/>
          <w:szCs w:val="22"/>
        </w:rPr>
        <w:t>/PM</w:t>
      </w:r>
      <w:r w:rsidR="009D7B6F" w:rsidRPr="00E27A59">
        <w:rPr>
          <w:sz w:val="22"/>
          <w:szCs w:val="22"/>
          <w:vertAlign w:val="subscript"/>
        </w:rPr>
        <w:t>2.5</w:t>
      </w:r>
      <w:r w:rsidR="009D7B6F">
        <w:rPr>
          <w:sz w:val="22"/>
          <w:szCs w:val="22"/>
        </w:rPr>
        <w:t xml:space="preserve">, </w:t>
      </w:r>
      <w:r w:rsidR="008524D5">
        <w:rPr>
          <w:sz w:val="22"/>
          <w:szCs w:val="22"/>
        </w:rPr>
        <w:t>SO</w:t>
      </w:r>
      <w:r w:rsidR="008524D5" w:rsidRPr="008524D5">
        <w:rPr>
          <w:sz w:val="22"/>
          <w:szCs w:val="22"/>
          <w:vertAlign w:val="subscript"/>
        </w:rPr>
        <w:t>2</w:t>
      </w:r>
      <w:r w:rsidR="008524D5">
        <w:rPr>
          <w:sz w:val="22"/>
          <w:szCs w:val="22"/>
        </w:rPr>
        <w:t xml:space="preserve">, </w:t>
      </w:r>
      <w:r w:rsidR="00D51A44">
        <w:rPr>
          <w:sz w:val="22"/>
          <w:szCs w:val="22"/>
        </w:rPr>
        <w:t xml:space="preserve">GHG </w:t>
      </w:r>
      <w:r w:rsidR="009D7B6F">
        <w:rPr>
          <w:sz w:val="22"/>
          <w:szCs w:val="22"/>
        </w:rPr>
        <w:t xml:space="preserve">and </w:t>
      </w:r>
      <w:r w:rsidR="00D51A44">
        <w:rPr>
          <w:sz w:val="22"/>
          <w:szCs w:val="22"/>
        </w:rPr>
        <w:t>SAM</w:t>
      </w:r>
      <w:r w:rsidRPr="00290299">
        <w:rPr>
          <w:sz w:val="22"/>
          <w:szCs w:val="22"/>
        </w:rPr>
        <w:t>.</w:t>
      </w:r>
    </w:p>
    <w:p w:rsidR="00AC65F1" w:rsidRPr="00AC65F1" w:rsidRDefault="00AC65F1" w:rsidP="005601DE">
      <w:pPr>
        <w:pStyle w:val="ListParagraph"/>
        <w:widowControl w:val="0"/>
        <w:numPr>
          <w:ilvl w:val="0"/>
          <w:numId w:val="3"/>
        </w:numPr>
        <w:spacing w:after="120"/>
        <w:ind w:left="720" w:hanging="720"/>
        <w:contextualSpacing w:val="0"/>
        <w:rPr>
          <w:b/>
          <w:caps/>
          <w:sz w:val="22"/>
          <w:szCs w:val="22"/>
        </w:rPr>
      </w:pPr>
      <w:r w:rsidRPr="00AC65F1">
        <w:rPr>
          <w:b/>
          <w:caps/>
          <w:sz w:val="22"/>
          <w:szCs w:val="22"/>
        </w:rPr>
        <w:t>BACT Process</w:t>
      </w:r>
    </w:p>
    <w:p w:rsidR="00AC65F1" w:rsidRPr="00AA3E63" w:rsidRDefault="00AC65F1" w:rsidP="00AC65F1">
      <w:pPr>
        <w:widowControl w:val="0"/>
        <w:spacing w:before="120" w:after="60"/>
        <w:rPr>
          <w:sz w:val="22"/>
          <w:szCs w:val="22"/>
        </w:rPr>
      </w:pPr>
      <w:r w:rsidRPr="00AA3E63">
        <w:rPr>
          <w:sz w:val="22"/>
          <w:szCs w:val="22"/>
        </w:rPr>
        <w:t>“Best Available Control Technology” or “BACT” is defined in Rule 62-210.200(32), F.A.C. as follows:</w:t>
      </w:r>
    </w:p>
    <w:p w:rsidR="00AC65F1" w:rsidRPr="00AA3E63" w:rsidRDefault="00AC65F1" w:rsidP="00AC65F1">
      <w:pPr>
        <w:widowControl w:val="0"/>
        <w:numPr>
          <w:ilvl w:val="0"/>
          <w:numId w:val="9"/>
        </w:numPr>
        <w:tabs>
          <w:tab w:val="clear" w:pos="360"/>
          <w:tab w:val="num" w:pos="2142"/>
        </w:tabs>
        <w:spacing w:after="60"/>
        <w:rPr>
          <w:i/>
          <w:sz w:val="22"/>
          <w:szCs w:val="22"/>
        </w:rPr>
      </w:pPr>
      <w:r w:rsidRPr="00AA3E63">
        <w:rPr>
          <w:i/>
          <w:noProof/>
          <w:color w:val="000000"/>
          <w:sz w:val="22"/>
          <w:szCs w:val="22"/>
        </w:rPr>
        <w:t xml:space="preserve">An emission limitation, including a visible emissions standard, based on the maximum degree of reduction of each pollutant emitted which the Department, on a case by case basis, </w:t>
      </w:r>
      <w:r w:rsidRPr="00AA3E63">
        <w:rPr>
          <w:i/>
          <w:color w:val="000000"/>
          <w:sz w:val="22"/>
          <w:szCs w:val="22"/>
        </w:rPr>
        <w:t xml:space="preserve">determines is achievable through application of production processes and available methods, systems and techniques (including fuel cleaning or treatment or innovative fuel combustion techniques) for control of each such pollutant, </w:t>
      </w:r>
      <w:r w:rsidRPr="00AA3E63">
        <w:rPr>
          <w:i/>
          <w:noProof/>
          <w:color w:val="000000"/>
          <w:sz w:val="22"/>
          <w:szCs w:val="22"/>
        </w:rPr>
        <w:t>taking into account:</w:t>
      </w:r>
    </w:p>
    <w:p w:rsidR="00AC65F1" w:rsidRPr="00AA3E63" w:rsidRDefault="00AC65F1" w:rsidP="00AC65F1">
      <w:pPr>
        <w:widowControl w:val="0"/>
        <w:numPr>
          <w:ilvl w:val="1"/>
          <w:numId w:val="9"/>
        </w:numPr>
        <w:spacing w:after="60"/>
        <w:ind w:left="720"/>
        <w:rPr>
          <w:i/>
          <w:sz w:val="22"/>
          <w:szCs w:val="22"/>
        </w:rPr>
      </w:pPr>
      <w:r w:rsidRPr="00AA3E63">
        <w:rPr>
          <w:i/>
          <w:sz w:val="22"/>
          <w:szCs w:val="22"/>
        </w:rPr>
        <w:t>Energy, environmental and economic impacts, and other costs;</w:t>
      </w:r>
    </w:p>
    <w:p w:rsidR="00AC65F1" w:rsidRPr="00AA3E63" w:rsidRDefault="00AC65F1" w:rsidP="00AC65F1">
      <w:pPr>
        <w:widowControl w:val="0"/>
        <w:numPr>
          <w:ilvl w:val="1"/>
          <w:numId w:val="9"/>
        </w:numPr>
        <w:spacing w:after="60"/>
        <w:ind w:left="720"/>
        <w:rPr>
          <w:i/>
          <w:sz w:val="22"/>
          <w:szCs w:val="22"/>
        </w:rPr>
      </w:pPr>
      <w:r w:rsidRPr="00AA3E63">
        <w:rPr>
          <w:i/>
          <w:sz w:val="22"/>
          <w:szCs w:val="22"/>
        </w:rPr>
        <w:t>All scientific, engineering, and technical material and other information available to the Department; and</w:t>
      </w:r>
    </w:p>
    <w:p w:rsidR="00AC65F1" w:rsidRPr="00AA3E63" w:rsidRDefault="00AC65F1" w:rsidP="00AC65F1">
      <w:pPr>
        <w:widowControl w:val="0"/>
        <w:numPr>
          <w:ilvl w:val="1"/>
          <w:numId w:val="9"/>
        </w:numPr>
        <w:spacing w:after="60"/>
        <w:ind w:left="720"/>
        <w:rPr>
          <w:i/>
          <w:sz w:val="22"/>
          <w:szCs w:val="22"/>
        </w:rPr>
      </w:pPr>
      <w:r w:rsidRPr="00AA3E63">
        <w:rPr>
          <w:i/>
          <w:noProof/>
          <w:color w:val="000000"/>
          <w:sz w:val="22"/>
          <w:szCs w:val="22"/>
        </w:rPr>
        <w:t>The emission limiting standards or BACT determinations of Florida and any other state.</w:t>
      </w:r>
    </w:p>
    <w:p w:rsidR="00AC65F1" w:rsidRPr="00AA3E63" w:rsidRDefault="00AC65F1" w:rsidP="00AC65F1">
      <w:pPr>
        <w:widowControl w:val="0"/>
        <w:numPr>
          <w:ilvl w:val="0"/>
          <w:numId w:val="9"/>
        </w:numPr>
        <w:tabs>
          <w:tab w:val="clear" w:pos="360"/>
          <w:tab w:val="num" w:pos="2142"/>
        </w:tabs>
        <w:spacing w:after="60"/>
        <w:rPr>
          <w:i/>
          <w:sz w:val="22"/>
          <w:szCs w:val="22"/>
        </w:rPr>
      </w:pPr>
      <w:r w:rsidRPr="00AA3E63">
        <w:rPr>
          <w:i/>
          <w:sz w:val="22"/>
          <w:szCs w:val="22"/>
        </w:rPr>
        <w:t>If the Department determines that technological or economic limitations on the application of measurement methodology to a particular part of an emissions unit or facility would make the imposition of an emission standard infeasible, a design, equipment, work practice, operational standard or combination thereof, may be prescribed instead to satisfy the requirement for eh application of BACT.  Such standard shall, to the degree possible, set forth the emissions reductions achievable by implementation of such design, equipment, work practice or operation.</w:t>
      </w:r>
    </w:p>
    <w:p w:rsidR="00AC65F1" w:rsidRPr="00AA3E63" w:rsidRDefault="00AC65F1" w:rsidP="00AC65F1">
      <w:pPr>
        <w:widowControl w:val="0"/>
        <w:numPr>
          <w:ilvl w:val="0"/>
          <w:numId w:val="9"/>
        </w:numPr>
        <w:tabs>
          <w:tab w:val="clear" w:pos="360"/>
          <w:tab w:val="num" w:pos="2142"/>
        </w:tabs>
        <w:spacing w:after="60"/>
        <w:rPr>
          <w:i/>
          <w:sz w:val="22"/>
          <w:szCs w:val="22"/>
        </w:rPr>
      </w:pPr>
      <w:r w:rsidRPr="00AA3E63">
        <w:rPr>
          <w:i/>
          <w:sz w:val="22"/>
          <w:szCs w:val="22"/>
        </w:rPr>
        <w:t>Each BACT determination shall include applicable test methods or shall provide for determining compliance with the standard(s) by means which achieve equivalent results.</w:t>
      </w:r>
    </w:p>
    <w:p w:rsidR="00AC65F1" w:rsidRPr="00AA3E63" w:rsidRDefault="00AC65F1" w:rsidP="00AC65F1">
      <w:pPr>
        <w:widowControl w:val="0"/>
        <w:numPr>
          <w:ilvl w:val="0"/>
          <w:numId w:val="9"/>
        </w:numPr>
        <w:tabs>
          <w:tab w:val="clear" w:pos="360"/>
          <w:tab w:val="num" w:pos="2142"/>
        </w:tabs>
        <w:rPr>
          <w:i/>
          <w:sz w:val="22"/>
          <w:szCs w:val="22"/>
        </w:rPr>
      </w:pPr>
      <w:r w:rsidRPr="00AA3E63">
        <w:rPr>
          <w:i/>
          <w:noProof/>
          <w:color w:val="000000"/>
          <w:sz w:val="22"/>
          <w:szCs w:val="22"/>
        </w:rPr>
        <w:t>In no event shall application of best available control technology result in emissions of any pollutant which would exceed the emissions allowed by any applicable standard under 40 CFR Parts 60, 61, and 63.</w:t>
      </w:r>
    </w:p>
    <w:p w:rsidR="00AC65F1" w:rsidRPr="00AC65F1" w:rsidRDefault="00AC65F1" w:rsidP="00AC65F1">
      <w:pPr>
        <w:widowControl w:val="0"/>
        <w:spacing w:before="120" w:after="120"/>
        <w:rPr>
          <w:b/>
          <w:caps/>
          <w:sz w:val="22"/>
          <w:szCs w:val="22"/>
        </w:rPr>
      </w:pPr>
      <w:r w:rsidRPr="00AC65F1">
        <w:rPr>
          <w:sz w:val="22"/>
          <w:szCs w:val="22"/>
        </w:rPr>
        <w:t>EPA’s RACT/BACT/LAER Clearinghouse (RBLC)</w:t>
      </w:r>
      <w:r w:rsidRPr="00AA3E63">
        <w:rPr>
          <w:vertAlign w:val="superscript"/>
        </w:rPr>
        <w:footnoteReference w:id="2"/>
      </w:r>
      <w:r w:rsidRPr="00AC65F1">
        <w:rPr>
          <w:sz w:val="22"/>
          <w:szCs w:val="22"/>
        </w:rPr>
        <w:t>, is also employed to provide a list of recent BACT determinations regarding similar projects within the last 10 years throughout the country for comparison.</w:t>
      </w:r>
    </w:p>
    <w:p w:rsidR="005325B9" w:rsidRDefault="005325B9" w:rsidP="005601DE">
      <w:pPr>
        <w:pStyle w:val="ListParagraph"/>
        <w:widowControl w:val="0"/>
        <w:numPr>
          <w:ilvl w:val="0"/>
          <w:numId w:val="3"/>
        </w:numPr>
        <w:spacing w:after="120"/>
        <w:ind w:left="720" w:hanging="720"/>
        <w:contextualSpacing w:val="0"/>
        <w:rPr>
          <w:b/>
          <w:caps/>
          <w:sz w:val="22"/>
          <w:szCs w:val="22"/>
        </w:rPr>
      </w:pPr>
      <w:r>
        <w:rPr>
          <w:b/>
          <w:caps/>
          <w:sz w:val="22"/>
          <w:szCs w:val="22"/>
        </w:rPr>
        <w:t>Department’s Project Review</w:t>
      </w:r>
    </w:p>
    <w:p w:rsidR="00DD7397" w:rsidRDefault="00D876AE" w:rsidP="004971CA">
      <w:pPr>
        <w:pStyle w:val="BodyText2"/>
        <w:widowControl w:val="0"/>
        <w:jc w:val="left"/>
      </w:pPr>
      <w:r>
        <w:rPr>
          <w:szCs w:val="22"/>
        </w:rPr>
        <w:t xml:space="preserve">As previously described, SHGS currently operates three simple cycle combustion turbines, identified as (EU 001- 003).  </w:t>
      </w:r>
      <w:r w:rsidR="008361B5">
        <w:rPr>
          <w:szCs w:val="22"/>
        </w:rPr>
        <w:t xml:space="preserve">The initial startup date for EU </w:t>
      </w:r>
      <w:r w:rsidRPr="00D876AE">
        <w:rPr>
          <w:szCs w:val="22"/>
        </w:rPr>
        <w:t xml:space="preserve">001 was </w:t>
      </w:r>
      <w:r w:rsidR="00DB1314">
        <w:rPr>
          <w:szCs w:val="22"/>
        </w:rPr>
        <w:t>December 1, 2001</w:t>
      </w:r>
      <w:r w:rsidRPr="00D876AE">
        <w:rPr>
          <w:szCs w:val="22"/>
        </w:rPr>
        <w:t xml:space="preserve">. </w:t>
      </w:r>
      <w:r w:rsidR="00DB1314">
        <w:rPr>
          <w:szCs w:val="22"/>
        </w:rPr>
        <w:t xml:space="preserve"> EU 002 and</w:t>
      </w:r>
      <w:r w:rsidR="002033B1">
        <w:rPr>
          <w:szCs w:val="22"/>
        </w:rPr>
        <w:t xml:space="preserve"> </w:t>
      </w:r>
      <w:r w:rsidR="00A625C5">
        <w:rPr>
          <w:szCs w:val="22"/>
        </w:rPr>
        <w:t xml:space="preserve">EU </w:t>
      </w:r>
      <w:r w:rsidRPr="00D876AE">
        <w:rPr>
          <w:szCs w:val="22"/>
        </w:rPr>
        <w:t xml:space="preserve">003 </w:t>
      </w:r>
      <w:r w:rsidR="00706856">
        <w:rPr>
          <w:szCs w:val="22"/>
        </w:rPr>
        <w:t>are documented to have initial startup date</w:t>
      </w:r>
      <w:r w:rsidR="002033B1">
        <w:rPr>
          <w:szCs w:val="22"/>
        </w:rPr>
        <w:t>s</w:t>
      </w:r>
      <w:r w:rsidR="00706856">
        <w:rPr>
          <w:szCs w:val="22"/>
        </w:rPr>
        <w:t xml:space="preserve"> of</w:t>
      </w:r>
      <w:r w:rsidRPr="00D876AE">
        <w:rPr>
          <w:szCs w:val="22"/>
        </w:rPr>
        <w:t xml:space="preserve"> </w:t>
      </w:r>
      <w:r w:rsidR="00DB1314">
        <w:rPr>
          <w:szCs w:val="22"/>
        </w:rPr>
        <w:t>January 2, 2002,</w:t>
      </w:r>
      <w:r w:rsidRPr="00D876AE">
        <w:rPr>
          <w:szCs w:val="22"/>
        </w:rPr>
        <w:t xml:space="preserve"> and </w:t>
      </w:r>
      <w:r w:rsidR="00706856">
        <w:rPr>
          <w:szCs w:val="22"/>
        </w:rPr>
        <w:t>February 5, 2002</w:t>
      </w:r>
      <w:r w:rsidRPr="00D876AE">
        <w:rPr>
          <w:szCs w:val="22"/>
        </w:rPr>
        <w:t xml:space="preserve">, respectively. </w:t>
      </w:r>
      <w:r w:rsidR="00DB1314">
        <w:rPr>
          <w:szCs w:val="22"/>
        </w:rPr>
        <w:t xml:space="preserve"> </w:t>
      </w:r>
      <w:r w:rsidRPr="00D876AE">
        <w:rPr>
          <w:szCs w:val="22"/>
        </w:rPr>
        <w:t>The facility also includes a natural gas heater (EU</w:t>
      </w:r>
      <w:r w:rsidR="008C0E1C">
        <w:rPr>
          <w:szCs w:val="22"/>
        </w:rPr>
        <w:t xml:space="preserve"> </w:t>
      </w:r>
      <w:r w:rsidRPr="00D876AE">
        <w:rPr>
          <w:szCs w:val="22"/>
        </w:rPr>
        <w:t>010), one emergency diesel generator (EU</w:t>
      </w:r>
      <w:r w:rsidR="008C0E1C">
        <w:rPr>
          <w:szCs w:val="22"/>
        </w:rPr>
        <w:t xml:space="preserve"> </w:t>
      </w:r>
      <w:r w:rsidRPr="00D876AE">
        <w:rPr>
          <w:szCs w:val="22"/>
        </w:rPr>
        <w:t>011), and</w:t>
      </w:r>
      <w:r>
        <w:rPr>
          <w:szCs w:val="22"/>
        </w:rPr>
        <w:t xml:space="preserve"> </w:t>
      </w:r>
      <w:r w:rsidRPr="00D876AE">
        <w:rPr>
          <w:szCs w:val="22"/>
        </w:rPr>
        <w:t>one emergency diesel fire pump (EU</w:t>
      </w:r>
      <w:r w:rsidR="008C0E1C">
        <w:rPr>
          <w:szCs w:val="22"/>
        </w:rPr>
        <w:t xml:space="preserve"> </w:t>
      </w:r>
      <w:r w:rsidRPr="00D876AE">
        <w:rPr>
          <w:szCs w:val="22"/>
        </w:rPr>
        <w:t>012).</w:t>
      </w:r>
      <w:r w:rsidR="001E45D7" w:rsidRPr="001E45D7">
        <w:rPr>
          <w:szCs w:val="22"/>
        </w:rPr>
        <w:t xml:space="preserve"> </w:t>
      </w:r>
      <w:r w:rsidR="001E45D7">
        <w:rPr>
          <w:szCs w:val="22"/>
        </w:rPr>
        <w:t xml:space="preserve"> </w:t>
      </w:r>
      <w:r w:rsidR="00610A62">
        <w:rPr>
          <w:szCs w:val="22"/>
        </w:rPr>
        <w:t>As currently permitted, t</w:t>
      </w:r>
      <w:r w:rsidR="001E45D7" w:rsidRPr="004813D2">
        <w:rPr>
          <w:szCs w:val="22"/>
        </w:rPr>
        <w:t>he SHGS is not a major source of HAPs</w:t>
      </w:r>
      <w:r w:rsidR="001E45D7">
        <w:rPr>
          <w:szCs w:val="22"/>
        </w:rPr>
        <w:t xml:space="preserve"> </w:t>
      </w:r>
      <w:r w:rsidR="001E45D7" w:rsidRPr="004813D2">
        <w:rPr>
          <w:szCs w:val="22"/>
        </w:rPr>
        <w:t xml:space="preserve">emissions. </w:t>
      </w:r>
      <w:r w:rsidR="00610A62">
        <w:rPr>
          <w:szCs w:val="22"/>
        </w:rPr>
        <w:t xml:space="preserve"> </w:t>
      </w:r>
      <w:r w:rsidR="001E45D7" w:rsidRPr="004813D2">
        <w:rPr>
          <w:szCs w:val="22"/>
        </w:rPr>
        <w:t>The combined potential HAPs emissions from the proposed SHCCF and SHGS will remain</w:t>
      </w:r>
      <w:r w:rsidR="001E45D7">
        <w:rPr>
          <w:szCs w:val="22"/>
        </w:rPr>
        <w:t xml:space="preserve"> </w:t>
      </w:r>
      <w:r w:rsidR="001E45D7" w:rsidRPr="004813D2">
        <w:rPr>
          <w:szCs w:val="22"/>
        </w:rPr>
        <w:t>under the “major source” threshold of 10 TPY for a single HAP (i.e., formaldehyde) and 25 TPY for all HAPs.</w:t>
      </w:r>
    </w:p>
    <w:p w:rsidR="005325B9" w:rsidRDefault="008136FF" w:rsidP="004971CA">
      <w:pPr>
        <w:pStyle w:val="BodyText2"/>
        <w:widowControl w:val="0"/>
        <w:jc w:val="left"/>
        <w:rPr>
          <w:szCs w:val="22"/>
        </w:rPr>
      </w:pPr>
      <w:r>
        <w:t>Regarding</w:t>
      </w:r>
      <w:r w:rsidR="004C6CF3">
        <w:t xml:space="preserve"> the PSD analysis</w:t>
      </w:r>
      <w:r w:rsidR="00610A62">
        <w:t>, e</w:t>
      </w:r>
      <w:r w:rsidR="004971CA">
        <w:t xml:space="preserve">mission increases or decreases for a particular modification are contemporaneous if they occur between five years before the construction of that change and the date the increase from the change occurs.  However, </w:t>
      </w:r>
      <w:r w:rsidR="003F4EBD">
        <w:t>n</w:t>
      </w:r>
      <w:r w:rsidR="00160296">
        <w:t xml:space="preserve">one of the existing emission units will be affected by the construction of the SHCCF.  </w:t>
      </w:r>
      <w:r w:rsidR="003D3027">
        <w:rPr>
          <w:szCs w:val="22"/>
        </w:rPr>
        <w:t>Therefore</w:t>
      </w:r>
      <w:r w:rsidR="00E21427" w:rsidRPr="00E21427">
        <w:rPr>
          <w:szCs w:val="22"/>
        </w:rPr>
        <w:t>, there are no contemporaneous and creditable</w:t>
      </w:r>
      <w:r w:rsidR="00E21427">
        <w:rPr>
          <w:szCs w:val="22"/>
        </w:rPr>
        <w:t xml:space="preserve"> </w:t>
      </w:r>
      <w:r w:rsidR="00E21427" w:rsidRPr="00E21427">
        <w:rPr>
          <w:szCs w:val="22"/>
        </w:rPr>
        <w:t>emission decreases in actual emissions, and the only increases</w:t>
      </w:r>
      <w:r w:rsidR="00E21427">
        <w:rPr>
          <w:szCs w:val="22"/>
        </w:rPr>
        <w:t xml:space="preserve"> </w:t>
      </w:r>
      <w:r w:rsidR="00E21427" w:rsidRPr="00E21427">
        <w:rPr>
          <w:szCs w:val="22"/>
        </w:rPr>
        <w:t xml:space="preserve">in actual emissions would occur from the </w:t>
      </w:r>
      <w:r w:rsidR="00160296">
        <w:rPr>
          <w:szCs w:val="22"/>
        </w:rPr>
        <w:t>newly constructed units</w:t>
      </w:r>
      <w:r w:rsidR="00FD5230">
        <w:rPr>
          <w:szCs w:val="22"/>
        </w:rPr>
        <w:t xml:space="preserve"> associated with the project</w:t>
      </w:r>
      <w:r w:rsidR="00E21427" w:rsidRPr="00E21427">
        <w:rPr>
          <w:szCs w:val="22"/>
        </w:rPr>
        <w:t>.</w:t>
      </w:r>
    </w:p>
    <w:p w:rsidR="00877E2D" w:rsidRPr="005601DE" w:rsidRDefault="00877E2D" w:rsidP="005601DE">
      <w:pPr>
        <w:pStyle w:val="ListParagraph"/>
        <w:widowControl w:val="0"/>
        <w:numPr>
          <w:ilvl w:val="1"/>
          <w:numId w:val="3"/>
        </w:numPr>
        <w:spacing w:after="120"/>
        <w:ind w:left="720" w:hanging="720"/>
        <w:contextualSpacing w:val="0"/>
        <w:rPr>
          <w:b/>
          <w:caps/>
          <w:sz w:val="22"/>
          <w:szCs w:val="22"/>
        </w:rPr>
      </w:pPr>
      <w:r w:rsidRPr="00877E2D">
        <w:rPr>
          <w:b/>
          <w:szCs w:val="22"/>
        </w:rPr>
        <w:t>GE 7H</w:t>
      </w:r>
      <w:r w:rsidR="001435A4">
        <w:rPr>
          <w:b/>
          <w:szCs w:val="22"/>
        </w:rPr>
        <w:t>A</w:t>
      </w:r>
      <w:r w:rsidRPr="00877E2D">
        <w:rPr>
          <w:b/>
          <w:szCs w:val="22"/>
        </w:rPr>
        <w:t xml:space="preserve">.02 </w:t>
      </w:r>
      <w:r w:rsidR="00AE0C58">
        <w:rPr>
          <w:b/>
          <w:szCs w:val="22"/>
        </w:rPr>
        <w:t>CTG</w:t>
      </w:r>
      <w:r w:rsidR="00DE486F">
        <w:rPr>
          <w:b/>
          <w:szCs w:val="22"/>
        </w:rPr>
        <w:t xml:space="preserve"> (EU </w:t>
      </w:r>
      <w:r w:rsidR="00DF3719">
        <w:rPr>
          <w:b/>
          <w:szCs w:val="22"/>
        </w:rPr>
        <w:t>001</w:t>
      </w:r>
      <w:r w:rsidR="00DE486F">
        <w:rPr>
          <w:b/>
          <w:szCs w:val="22"/>
        </w:rPr>
        <w:t>)</w:t>
      </w:r>
    </w:p>
    <w:p w:rsidR="008D403F" w:rsidRPr="008D403F" w:rsidRDefault="00022E4D" w:rsidP="000E18ED">
      <w:pPr>
        <w:pStyle w:val="BodyText2"/>
        <w:widowControl w:val="0"/>
        <w:jc w:val="left"/>
        <w:rPr>
          <w:szCs w:val="22"/>
        </w:rPr>
      </w:pPr>
      <w:r w:rsidRPr="00022E4D">
        <w:rPr>
          <w:szCs w:val="22"/>
        </w:rPr>
        <w:t>C</w:t>
      </w:r>
      <w:r>
        <w:rPr>
          <w:szCs w:val="22"/>
        </w:rPr>
        <w:t>ombustion turbine</w:t>
      </w:r>
      <w:r w:rsidRPr="00022E4D">
        <w:rPr>
          <w:szCs w:val="22"/>
        </w:rPr>
        <w:t>s are essentially composed of three major components: compressor, combustor, and power turbine.</w:t>
      </w:r>
      <w:r>
        <w:rPr>
          <w:szCs w:val="22"/>
        </w:rPr>
        <w:t xml:space="preserve">  </w:t>
      </w:r>
      <w:r w:rsidR="00632E5D">
        <w:rPr>
          <w:szCs w:val="22"/>
        </w:rPr>
        <w:t>A gas turbine essentially compresses a</w:t>
      </w:r>
      <w:r>
        <w:rPr>
          <w:szCs w:val="22"/>
        </w:rPr>
        <w:t xml:space="preserve">ir and fuel </w:t>
      </w:r>
      <w:r w:rsidR="00632E5D">
        <w:rPr>
          <w:szCs w:val="22"/>
        </w:rPr>
        <w:t>in</w:t>
      </w:r>
      <w:r>
        <w:rPr>
          <w:szCs w:val="22"/>
        </w:rPr>
        <w:t xml:space="preserve"> the compressor module and </w:t>
      </w:r>
      <w:r w:rsidR="000E18ED">
        <w:rPr>
          <w:szCs w:val="22"/>
        </w:rPr>
        <w:t xml:space="preserve">then triggers an ignition within the combustor.  As a result, gases are expanded through the turbine and the turbine’s shaft continues to rotate and drive the compressor to continue operation.  </w:t>
      </w:r>
      <w:r w:rsidR="000E18ED" w:rsidRPr="000E18ED">
        <w:rPr>
          <w:szCs w:val="22"/>
        </w:rPr>
        <w:t>The compressor module, combustor module and turbine module connected by one or more</w:t>
      </w:r>
      <w:r w:rsidR="000E18ED">
        <w:rPr>
          <w:szCs w:val="22"/>
        </w:rPr>
        <w:t xml:space="preserve"> </w:t>
      </w:r>
      <w:r w:rsidR="000E18ED" w:rsidRPr="000E18ED">
        <w:rPr>
          <w:szCs w:val="22"/>
        </w:rPr>
        <w:t xml:space="preserve">shafts are collectively called the </w:t>
      </w:r>
      <w:r w:rsidR="007A2543">
        <w:rPr>
          <w:szCs w:val="22"/>
        </w:rPr>
        <w:t>CTG</w:t>
      </w:r>
      <w:r w:rsidR="000E18ED" w:rsidRPr="000E18ED">
        <w:rPr>
          <w:szCs w:val="22"/>
        </w:rPr>
        <w:t>.</w:t>
      </w:r>
      <w:r w:rsidR="00A71257" w:rsidRPr="00A71257">
        <w:t xml:space="preserve"> </w:t>
      </w:r>
      <w:r w:rsidR="00D55882">
        <w:t xml:space="preserve"> </w:t>
      </w:r>
      <w:r w:rsidR="00D55882">
        <w:rPr>
          <w:szCs w:val="22"/>
        </w:rPr>
        <w:t xml:space="preserve">A </w:t>
      </w:r>
      <w:r w:rsidR="00D55882" w:rsidRPr="00534D5F">
        <w:rPr>
          <w:szCs w:val="22"/>
        </w:rPr>
        <w:t xml:space="preserve">HRSG </w:t>
      </w:r>
      <w:r w:rsidR="00A71257" w:rsidRPr="00A71257">
        <w:rPr>
          <w:szCs w:val="22"/>
        </w:rPr>
        <w:t xml:space="preserve">may be added to convert the remaining heat energy of the exhaust gases into steam to drive a steam-electric turbine to produce </w:t>
      </w:r>
      <w:r w:rsidR="00A71257" w:rsidRPr="00A71257">
        <w:rPr>
          <w:szCs w:val="22"/>
        </w:rPr>
        <w:lastRenderedPageBreak/>
        <w:t>additional electricity.  Gas turbines with heat recovery steam generators are commonly referred to as combined cycle unit</w:t>
      </w:r>
      <w:r w:rsidR="00D55882">
        <w:rPr>
          <w:szCs w:val="22"/>
        </w:rPr>
        <w:t>s.</w:t>
      </w:r>
      <w:r w:rsidR="009F6CA3" w:rsidRPr="009F6CA3">
        <w:t xml:space="preserve"> </w:t>
      </w:r>
      <w:r w:rsidR="000D1C04">
        <w:t xml:space="preserve"> </w:t>
      </w:r>
      <w:r w:rsidR="0069077B">
        <w:t>Furthermore, d</w:t>
      </w:r>
      <w:r w:rsidR="009F6CA3" w:rsidRPr="009F6CA3">
        <w:rPr>
          <w:szCs w:val="22"/>
        </w:rPr>
        <w:t>uct burners in the HRSG may be fired with natural gas to raise the useful heat energy of the gas turbine exhaust and produce additional steam-generated electricity.  Although the overall cycle of the unit is less efficient in this mode, duct firing is useful during periods of high-energy demand</w:t>
      </w:r>
      <w:r w:rsidR="00A5138C">
        <w:rPr>
          <w:szCs w:val="22"/>
        </w:rPr>
        <w:t>, i.e., peaking</w:t>
      </w:r>
      <w:r w:rsidR="000D1C04">
        <w:rPr>
          <w:szCs w:val="22"/>
        </w:rPr>
        <w:t>.</w:t>
      </w:r>
    </w:p>
    <w:p w:rsidR="00406CD2" w:rsidRDefault="000D1C04" w:rsidP="003436FD">
      <w:pPr>
        <w:pStyle w:val="BodyText2"/>
        <w:widowControl w:val="0"/>
        <w:jc w:val="left"/>
        <w:rPr>
          <w:szCs w:val="22"/>
        </w:rPr>
      </w:pPr>
      <w:r>
        <w:rPr>
          <w:szCs w:val="22"/>
        </w:rPr>
        <w:t>For this project, t</w:t>
      </w:r>
      <w:r w:rsidR="008D403F" w:rsidRPr="008D403F">
        <w:rPr>
          <w:szCs w:val="22"/>
        </w:rPr>
        <w:t xml:space="preserve">he </w:t>
      </w:r>
      <w:r w:rsidR="009635D3">
        <w:rPr>
          <w:szCs w:val="22"/>
        </w:rPr>
        <w:t>applicant is proposing to install</w:t>
      </w:r>
      <w:r w:rsidR="00534D5F">
        <w:rPr>
          <w:szCs w:val="22"/>
        </w:rPr>
        <w:t xml:space="preserve"> </w:t>
      </w:r>
      <w:r w:rsidR="00534D5F" w:rsidRPr="00534D5F">
        <w:rPr>
          <w:szCs w:val="22"/>
        </w:rPr>
        <w:t>one nominal 385 MW GE 7HA.02</w:t>
      </w:r>
      <w:r w:rsidR="00534D5F">
        <w:rPr>
          <w:szCs w:val="22"/>
        </w:rPr>
        <w:t xml:space="preserve"> </w:t>
      </w:r>
      <w:r w:rsidR="00534D5F" w:rsidRPr="00534D5F">
        <w:rPr>
          <w:szCs w:val="22"/>
        </w:rPr>
        <w:t>CTG</w:t>
      </w:r>
      <w:r w:rsidR="00534D5F">
        <w:rPr>
          <w:szCs w:val="22"/>
        </w:rPr>
        <w:t xml:space="preserve"> and</w:t>
      </w:r>
      <w:r w:rsidR="00534D5F" w:rsidRPr="00534D5F">
        <w:rPr>
          <w:szCs w:val="22"/>
        </w:rPr>
        <w:t xml:space="preserve"> one HRSG with duct firing</w:t>
      </w:r>
      <w:r w:rsidR="00534D5F">
        <w:rPr>
          <w:szCs w:val="22"/>
        </w:rPr>
        <w:t xml:space="preserve"> </w:t>
      </w:r>
      <w:r w:rsidR="00696D3C">
        <w:rPr>
          <w:szCs w:val="22"/>
        </w:rPr>
        <w:t>[approximately 2</w:t>
      </w:r>
      <w:r w:rsidR="000C7AE9">
        <w:rPr>
          <w:szCs w:val="22"/>
        </w:rPr>
        <w:t>1</w:t>
      </w:r>
      <w:r w:rsidR="00696D3C">
        <w:rPr>
          <w:szCs w:val="22"/>
        </w:rPr>
        <w:t>0 M</w:t>
      </w:r>
      <w:r w:rsidR="00534D5F" w:rsidRPr="00534D5F">
        <w:rPr>
          <w:szCs w:val="22"/>
        </w:rPr>
        <w:t>MBtu/h</w:t>
      </w:r>
      <w:r w:rsidR="00696D3C">
        <w:rPr>
          <w:szCs w:val="22"/>
        </w:rPr>
        <w:t>our</w:t>
      </w:r>
      <w:r w:rsidR="00534D5F" w:rsidRPr="00534D5F">
        <w:rPr>
          <w:szCs w:val="22"/>
        </w:rPr>
        <w:t>], and one nominal 210 MW steam</w:t>
      </w:r>
      <w:r w:rsidR="00534D5F">
        <w:rPr>
          <w:szCs w:val="22"/>
        </w:rPr>
        <w:t xml:space="preserve"> </w:t>
      </w:r>
      <w:r w:rsidR="00534D5F" w:rsidRPr="00534D5F">
        <w:rPr>
          <w:szCs w:val="22"/>
        </w:rPr>
        <w:t>turbine generator (STG)</w:t>
      </w:r>
      <w:r w:rsidR="008D403F" w:rsidRPr="008D403F">
        <w:rPr>
          <w:szCs w:val="22"/>
        </w:rPr>
        <w:t xml:space="preserve">.  </w:t>
      </w:r>
      <w:r w:rsidR="00D80A07" w:rsidRPr="00D80A07">
        <w:rPr>
          <w:szCs w:val="22"/>
        </w:rPr>
        <w:t>A process flow diagram of the new CTG/HRSG/STG configuration, operating at base load conditions with</w:t>
      </w:r>
      <w:r w:rsidR="00D80A07">
        <w:rPr>
          <w:szCs w:val="22"/>
        </w:rPr>
        <w:t xml:space="preserve"> </w:t>
      </w:r>
      <w:r w:rsidR="00D80A07" w:rsidRPr="00D80A07">
        <w:rPr>
          <w:szCs w:val="22"/>
        </w:rPr>
        <w:t xml:space="preserve">an ambient temperature of 59°F, is presented in </w:t>
      </w:r>
      <w:r w:rsidR="003436FD" w:rsidRPr="003436FD">
        <w:rPr>
          <w:szCs w:val="22"/>
        </w:rPr>
        <w:fldChar w:fldCharType="begin"/>
      </w:r>
      <w:r w:rsidR="003436FD" w:rsidRPr="003436FD">
        <w:rPr>
          <w:szCs w:val="22"/>
        </w:rPr>
        <w:instrText xml:space="preserve"> REF _Ref508272004 \h </w:instrText>
      </w:r>
      <w:r w:rsidR="003436FD">
        <w:rPr>
          <w:szCs w:val="22"/>
        </w:rPr>
        <w:instrText xml:space="preserve"> \* MERGEFORMAT </w:instrText>
      </w:r>
      <w:r w:rsidR="003436FD" w:rsidRPr="003436FD">
        <w:rPr>
          <w:szCs w:val="22"/>
        </w:rPr>
      </w:r>
      <w:r w:rsidR="003436FD" w:rsidRPr="003436FD">
        <w:rPr>
          <w:szCs w:val="22"/>
        </w:rPr>
        <w:fldChar w:fldCharType="separate"/>
      </w:r>
      <w:r w:rsidR="003E3FA4" w:rsidRPr="003E3FA4">
        <w:rPr>
          <w:rFonts w:ascii="Times New Roman Bold" w:hAnsi="Times New Roman Bold"/>
        </w:rPr>
        <w:t xml:space="preserve">Figure </w:t>
      </w:r>
      <w:r w:rsidR="003E3FA4" w:rsidRPr="003E3FA4">
        <w:rPr>
          <w:rFonts w:ascii="Times New Roman Bold" w:hAnsi="Times New Roman Bold"/>
          <w:noProof/>
        </w:rPr>
        <w:t>4</w:t>
      </w:r>
      <w:r w:rsidR="003436FD" w:rsidRPr="003436FD">
        <w:rPr>
          <w:szCs w:val="22"/>
        </w:rPr>
        <w:fldChar w:fldCharType="end"/>
      </w:r>
      <w:r w:rsidR="003436FD">
        <w:rPr>
          <w:szCs w:val="22"/>
        </w:rPr>
        <w:t>.</w:t>
      </w:r>
    </w:p>
    <w:p w:rsidR="00845550" w:rsidRDefault="00406CD2" w:rsidP="005601DE">
      <w:pPr>
        <w:pStyle w:val="BodyText2"/>
        <w:widowControl w:val="0"/>
        <w:numPr>
          <w:ilvl w:val="0"/>
          <w:numId w:val="0"/>
        </w:numPr>
        <w:jc w:val="center"/>
      </w:pPr>
      <w:r>
        <w:rPr>
          <w:noProof/>
        </w:rPr>
        <w:drawing>
          <wp:inline distT="0" distB="0" distL="0" distR="0" wp14:anchorId="39B20C1A" wp14:editId="7E870BB2">
            <wp:extent cx="5638800" cy="2881257"/>
            <wp:effectExtent l="19050" t="19050" r="19050" b="146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65845" cy="2895076"/>
                    </a:xfrm>
                    <a:prstGeom prst="rect">
                      <a:avLst/>
                    </a:prstGeom>
                    <a:noFill/>
                    <a:ln w="12700">
                      <a:solidFill>
                        <a:schemeClr val="tx1"/>
                      </a:solidFill>
                    </a:ln>
                  </pic:spPr>
                </pic:pic>
              </a:graphicData>
            </a:graphic>
          </wp:inline>
        </w:drawing>
      </w:r>
    </w:p>
    <w:p w:rsidR="00877E2D" w:rsidRDefault="00845550" w:rsidP="00383145">
      <w:pPr>
        <w:pStyle w:val="Caption"/>
        <w:spacing w:before="120"/>
        <w:jc w:val="center"/>
        <w:rPr>
          <w:rFonts w:ascii="Times New Roman Bold" w:hAnsi="Times New Roman Bold"/>
          <w:caps w:val="0"/>
        </w:rPr>
      </w:pPr>
      <w:bookmarkStart w:id="20" w:name="_Ref508272004"/>
      <w:r w:rsidRPr="00845550">
        <w:rPr>
          <w:rFonts w:ascii="Times New Roman Bold" w:hAnsi="Times New Roman Bold"/>
          <w:caps w:val="0"/>
        </w:rPr>
        <w:t xml:space="preserve">Figure </w:t>
      </w:r>
      <w:r w:rsidRPr="00845550">
        <w:rPr>
          <w:rFonts w:ascii="Times New Roman Bold" w:hAnsi="Times New Roman Bold"/>
          <w:caps w:val="0"/>
        </w:rPr>
        <w:fldChar w:fldCharType="begin"/>
      </w:r>
      <w:r w:rsidRPr="00845550">
        <w:rPr>
          <w:rFonts w:ascii="Times New Roman Bold" w:hAnsi="Times New Roman Bold"/>
          <w:caps w:val="0"/>
        </w:rPr>
        <w:instrText xml:space="preserve"> SEQ Figure \* ARABIC </w:instrText>
      </w:r>
      <w:r w:rsidRPr="00845550">
        <w:rPr>
          <w:rFonts w:ascii="Times New Roman Bold" w:hAnsi="Times New Roman Bold"/>
          <w:caps w:val="0"/>
        </w:rPr>
        <w:fldChar w:fldCharType="separate"/>
      </w:r>
      <w:r w:rsidR="003E3FA4">
        <w:rPr>
          <w:rFonts w:ascii="Times New Roman Bold" w:hAnsi="Times New Roman Bold"/>
          <w:caps w:val="0"/>
          <w:noProof/>
        </w:rPr>
        <w:t>4</w:t>
      </w:r>
      <w:r w:rsidRPr="00845550">
        <w:rPr>
          <w:rFonts w:ascii="Times New Roman Bold" w:hAnsi="Times New Roman Bold"/>
          <w:caps w:val="0"/>
        </w:rPr>
        <w:fldChar w:fldCharType="end"/>
      </w:r>
      <w:bookmarkEnd w:id="20"/>
      <w:r w:rsidR="00055DD2">
        <w:rPr>
          <w:rFonts w:ascii="Times New Roman Bold" w:hAnsi="Times New Roman Bold"/>
          <w:caps w:val="0"/>
        </w:rPr>
        <w:t>.</w:t>
      </w:r>
      <w:r w:rsidR="003436FD" w:rsidRPr="003436FD">
        <w:t xml:space="preserve"> </w:t>
      </w:r>
      <w:r w:rsidR="003436FD">
        <w:t xml:space="preserve"> </w:t>
      </w:r>
      <w:r w:rsidR="003436FD" w:rsidRPr="003436FD">
        <w:rPr>
          <w:rFonts w:ascii="Times New Roman Bold" w:hAnsi="Times New Roman Bold"/>
          <w:caps w:val="0"/>
        </w:rPr>
        <w:t xml:space="preserve">A </w:t>
      </w:r>
      <w:r w:rsidR="003436FD">
        <w:rPr>
          <w:rFonts w:ascii="Times New Roman Bold" w:hAnsi="Times New Roman Bold"/>
          <w:caps w:val="0"/>
        </w:rPr>
        <w:t>P</w:t>
      </w:r>
      <w:r w:rsidR="003436FD" w:rsidRPr="003436FD">
        <w:rPr>
          <w:rFonts w:ascii="Times New Roman Bold" w:hAnsi="Times New Roman Bold"/>
          <w:caps w:val="0"/>
        </w:rPr>
        <w:t xml:space="preserve">rocess </w:t>
      </w:r>
      <w:r w:rsidR="003436FD">
        <w:rPr>
          <w:rFonts w:ascii="Times New Roman Bold" w:hAnsi="Times New Roman Bold"/>
          <w:caps w:val="0"/>
        </w:rPr>
        <w:t>F</w:t>
      </w:r>
      <w:r w:rsidR="003436FD" w:rsidRPr="003436FD">
        <w:rPr>
          <w:rFonts w:ascii="Times New Roman Bold" w:hAnsi="Times New Roman Bold"/>
          <w:caps w:val="0"/>
        </w:rPr>
        <w:t xml:space="preserve">low </w:t>
      </w:r>
      <w:r w:rsidR="003436FD">
        <w:rPr>
          <w:rFonts w:ascii="Times New Roman Bold" w:hAnsi="Times New Roman Bold"/>
          <w:caps w:val="0"/>
        </w:rPr>
        <w:t>Diagram of the N</w:t>
      </w:r>
      <w:r w:rsidR="003436FD" w:rsidRPr="003436FD">
        <w:rPr>
          <w:rFonts w:ascii="Times New Roman Bold" w:hAnsi="Times New Roman Bold"/>
          <w:caps w:val="0"/>
        </w:rPr>
        <w:t xml:space="preserve">ew CTG/HRSG/STG </w:t>
      </w:r>
      <w:r w:rsidR="003436FD">
        <w:rPr>
          <w:rFonts w:ascii="Times New Roman Bold" w:hAnsi="Times New Roman Bold"/>
          <w:caps w:val="0"/>
        </w:rPr>
        <w:t>C</w:t>
      </w:r>
      <w:r w:rsidR="003436FD" w:rsidRPr="003436FD">
        <w:rPr>
          <w:rFonts w:ascii="Times New Roman Bold" w:hAnsi="Times New Roman Bold"/>
          <w:caps w:val="0"/>
        </w:rPr>
        <w:t>onfiguration</w:t>
      </w:r>
      <w:r w:rsidR="003436FD">
        <w:rPr>
          <w:rFonts w:ascii="Times New Roman Bold" w:hAnsi="Times New Roman Bold"/>
          <w:caps w:val="0"/>
        </w:rPr>
        <w:t>.</w:t>
      </w:r>
    </w:p>
    <w:p w:rsidR="000F61C1" w:rsidRDefault="00B67566" w:rsidP="0074684A">
      <w:pPr>
        <w:pStyle w:val="BodyText2"/>
        <w:widowControl w:val="0"/>
        <w:jc w:val="left"/>
      </w:pPr>
      <w:r w:rsidRPr="00B67566">
        <w:t xml:space="preserve">Natural gas will be the only </w:t>
      </w:r>
      <w:r w:rsidR="00503319">
        <w:t xml:space="preserve">permitted </w:t>
      </w:r>
      <w:r w:rsidRPr="00B67566">
        <w:t>fuel for the</w:t>
      </w:r>
      <w:r w:rsidR="004572AE">
        <w:t xml:space="preserve"> </w:t>
      </w:r>
      <w:r w:rsidR="00F90846">
        <w:t>unit</w:t>
      </w:r>
      <w:r w:rsidR="004572AE">
        <w:t xml:space="preserve">.  </w:t>
      </w:r>
      <w:r w:rsidR="000F306C">
        <w:t>According to the manufacturer</w:t>
      </w:r>
      <w:r w:rsidR="005B7512">
        <w:rPr>
          <w:rStyle w:val="FootnoteReference"/>
        </w:rPr>
        <w:footnoteReference w:id="3"/>
      </w:r>
      <w:r w:rsidR="000F306C">
        <w:t xml:space="preserve">, the </w:t>
      </w:r>
      <w:r w:rsidR="000F306C" w:rsidRPr="000F306C">
        <w:t>lowest operating load where compliance with emission</w:t>
      </w:r>
      <w:r w:rsidR="00492742">
        <w:t xml:space="preserve"> </w:t>
      </w:r>
      <w:r w:rsidR="000F306C" w:rsidRPr="000F306C">
        <w:t>levels are achieved</w:t>
      </w:r>
      <w:r w:rsidR="00384D60">
        <w:t xml:space="preserve"> is</w:t>
      </w:r>
      <w:r w:rsidR="00F914D3" w:rsidRPr="00F914D3">
        <w:t xml:space="preserve"> referred to as</w:t>
      </w:r>
      <w:r w:rsidR="00384D60">
        <w:t xml:space="preserve"> the</w:t>
      </w:r>
      <w:r w:rsidR="00F914D3" w:rsidRPr="00F914D3">
        <w:t xml:space="preserve"> minimum emission compliance load</w:t>
      </w:r>
      <w:r w:rsidR="00F914D3">
        <w:t xml:space="preserve"> </w:t>
      </w:r>
      <w:r w:rsidR="00F914D3" w:rsidRPr="00F914D3">
        <w:t>(MECL)</w:t>
      </w:r>
      <w:r w:rsidR="004B6AAC">
        <w:t>.</w:t>
      </w:r>
      <w:r w:rsidR="00F914D3" w:rsidRPr="00F914D3">
        <w:t xml:space="preserve"> </w:t>
      </w:r>
      <w:r w:rsidR="00691E74">
        <w:t xml:space="preserve"> The MECL </w:t>
      </w:r>
      <w:r w:rsidR="00F914D3" w:rsidRPr="00F914D3">
        <w:t xml:space="preserve">is approximately </w:t>
      </w:r>
      <w:r w:rsidR="00EF05A3">
        <w:t>25</w:t>
      </w:r>
      <w:r w:rsidR="00F914D3" w:rsidRPr="00F914D3">
        <w:t xml:space="preserve"> percent for the GE 7H</w:t>
      </w:r>
      <w:r w:rsidR="006E080A">
        <w:t>A</w:t>
      </w:r>
      <w:r w:rsidR="00F914D3" w:rsidRPr="00F914D3">
        <w:t>.02 CTG but varies with ambient temperature</w:t>
      </w:r>
      <w:r w:rsidR="00691E74">
        <w:t>.</w:t>
      </w:r>
    </w:p>
    <w:p w:rsidR="005960E7" w:rsidRPr="005960E7" w:rsidRDefault="00E70BB9" w:rsidP="005960E7">
      <w:pPr>
        <w:widowControl w:val="0"/>
        <w:spacing w:after="120"/>
        <w:rPr>
          <w:b/>
          <w:caps/>
          <w:sz w:val="22"/>
          <w:szCs w:val="22"/>
        </w:rPr>
      </w:pPr>
      <w:bookmarkStart w:id="21" w:name="_Hlk508798049"/>
      <w:r>
        <w:rPr>
          <w:sz w:val="22"/>
          <w:szCs w:val="22"/>
          <w:u w:val="single"/>
        </w:rPr>
        <w:t xml:space="preserve">EU </w:t>
      </w:r>
      <w:r w:rsidR="00DF3719">
        <w:rPr>
          <w:sz w:val="22"/>
          <w:szCs w:val="22"/>
          <w:u w:val="single"/>
        </w:rPr>
        <w:t>001</w:t>
      </w:r>
      <w:r w:rsidR="005960E7" w:rsidRPr="005960E7">
        <w:rPr>
          <w:sz w:val="22"/>
          <w:szCs w:val="22"/>
          <w:u w:val="single"/>
        </w:rPr>
        <w:t xml:space="preserve"> </w:t>
      </w:r>
      <w:bookmarkEnd w:id="21"/>
      <w:r w:rsidR="005960E7" w:rsidRPr="005960E7">
        <w:rPr>
          <w:sz w:val="22"/>
          <w:szCs w:val="22"/>
          <w:u w:val="single"/>
        </w:rPr>
        <w:t>Applicable State Regulations</w:t>
      </w:r>
    </w:p>
    <w:p w:rsidR="005960E7" w:rsidRPr="005960E7" w:rsidRDefault="005960E7" w:rsidP="005960E7">
      <w:pPr>
        <w:widowControl w:val="0"/>
        <w:spacing w:after="120"/>
        <w:rPr>
          <w:sz w:val="22"/>
          <w:szCs w:val="22"/>
        </w:rPr>
      </w:pPr>
      <w:r w:rsidRPr="005960E7">
        <w:rPr>
          <w:sz w:val="22"/>
          <w:szCs w:val="22"/>
        </w:rPr>
        <w:t xml:space="preserve">For this project, the following state regulations are applicable to </w:t>
      </w:r>
      <w:r w:rsidR="00855525" w:rsidRPr="00855525">
        <w:rPr>
          <w:sz w:val="22"/>
          <w:szCs w:val="22"/>
        </w:rPr>
        <w:t xml:space="preserve">EU </w:t>
      </w:r>
      <w:r w:rsidR="00DF3719">
        <w:rPr>
          <w:sz w:val="22"/>
          <w:szCs w:val="22"/>
        </w:rPr>
        <w:t>001</w:t>
      </w:r>
      <w:r w:rsidRPr="005960E7">
        <w:rPr>
          <w:sz w:val="22"/>
          <w:szCs w:val="22"/>
        </w:rPr>
        <w:t>:</w:t>
      </w:r>
    </w:p>
    <w:p w:rsidR="005960E7" w:rsidRPr="005960E7" w:rsidRDefault="005960E7" w:rsidP="000E68D7">
      <w:pPr>
        <w:widowControl w:val="0"/>
        <w:numPr>
          <w:ilvl w:val="0"/>
          <w:numId w:val="2"/>
        </w:numPr>
        <w:spacing w:after="120"/>
        <w:rPr>
          <w:sz w:val="22"/>
          <w:szCs w:val="22"/>
        </w:rPr>
      </w:pPr>
      <w:r w:rsidRPr="005960E7">
        <w:rPr>
          <w:sz w:val="22"/>
          <w:szCs w:val="22"/>
        </w:rPr>
        <w:t>Rule 62-204.800, F.A.C. (Federal Regulations Adopted by Reference);</w:t>
      </w:r>
    </w:p>
    <w:p w:rsidR="005960E7" w:rsidRPr="005960E7" w:rsidRDefault="005960E7" w:rsidP="000E68D7">
      <w:pPr>
        <w:widowControl w:val="0"/>
        <w:numPr>
          <w:ilvl w:val="0"/>
          <w:numId w:val="2"/>
        </w:numPr>
        <w:spacing w:after="120"/>
        <w:rPr>
          <w:sz w:val="22"/>
          <w:szCs w:val="22"/>
        </w:rPr>
      </w:pPr>
      <w:r w:rsidRPr="005960E7">
        <w:rPr>
          <w:sz w:val="22"/>
          <w:szCs w:val="22"/>
        </w:rPr>
        <w:t>Rule 62-212.400, F.A.C. (PSD Preconstruction Review and Best Available Control Technology (BACT));</w:t>
      </w:r>
    </w:p>
    <w:p w:rsidR="005960E7" w:rsidRPr="005960E7" w:rsidRDefault="005960E7" w:rsidP="000E68D7">
      <w:pPr>
        <w:widowControl w:val="0"/>
        <w:numPr>
          <w:ilvl w:val="0"/>
          <w:numId w:val="2"/>
        </w:numPr>
        <w:spacing w:after="120"/>
        <w:rPr>
          <w:sz w:val="22"/>
          <w:szCs w:val="22"/>
        </w:rPr>
      </w:pPr>
      <w:r w:rsidRPr="005960E7">
        <w:rPr>
          <w:sz w:val="22"/>
          <w:szCs w:val="22"/>
        </w:rPr>
        <w:t xml:space="preserve">Rule 62-214.300, F.A.C. (Acid Rain Applicability); </w:t>
      </w:r>
      <w:r w:rsidR="00855525" w:rsidRPr="005960E7">
        <w:rPr>
          <w:sz w:val="22"/>
          <w:szCs w:val="22"/>
        </w:rPr>
        <w:t>and</w:t>
      </w:r>
    </w:p>
    <w:p w:rsidR="005960E7" w:rsidRPr="005960E7" w:rsidRDefault="005960E7" w:rsidP="000E68D7">
      <w:pPr>
        <w:widowControl w:val="0"/>
        <w:numPr>
          <w:ilvl w:val="0"/>
          <w:numId w:val="2"/>
        </w:numPr>
        <w:spacing w:after="120"/>
        <w:rPr>
          <w:sz w:val="22"/>
          <w:szCs w:val="22"/>
        </w:rPr>
      </w:pPr>
      <w:r w:rsidRPr="005960E7">
        <w:rPr>
          <w:sz w:val="22"/>
          <w:szCs w:val="22"/>
        </w:rPr>
        <w:t>Rule 62-297.310, F.A.C. (General Emissions Test Requirements).</w:t>
      </w:r>
    </w:p>
    <w:p w:rsidR="005960E7" w:rsidRPr="005960E7" w:rsidRDefault="00E70BB9" w:rsidP="005960E7">
      <w:pPr>
        <w:widowControl w:val="0"/>
        <w:spacing w:after="120"/>
        <w:rPr>
          <w:sz w:val="22"/>
          <w:szCs w:val="22"/>
          <w:u w:val="single"/>
        </w:rPr>
      </w:pPr>
      <w:r>
        <w:rPr>
          <w:sz w:val="22"/>
          <w:szCs w:val="22"/>
          <w:u w:val="single"/>
        </w:rPr>
        <w:t xml:space="preserve">EU </w:t>
      </w:r>
      <w:r w:rsidR="00DF3719">
        <w:rPr>
          <w:sz w:val="22"/>
          <w:szCs w:val="22"/>
          <w:u w:val="single"/>
        </w:rPr>
        <w:t>001</w:t>
      </w:r>
      <w:r w:rsidR="005960E7" w:rsidRPr="005960E7">
        <w:rPr>
          <w:sz w:val="22"/>
          <w:szCs w:val="22"/>
          <w:u w:val="single"/>
        </w:rPr>
        <w:t xml:space="preserve"> Applicable Federal Regulations</w:t>
      </w:r>
    </w:p>
    <w:p w:rsidR="005960E7" w:rsidRPr="005960E7" w:rsidRDefault="005960E7" w:rsidP="005960E7">
      <w:pPr>
        <w:widowControl w:val="0"/>
        <w:spacing w:after="120"/>
        <w:rPr>
          <w:sz w:val="22"/>
          <w:szCs w:val="22"/>
        </w:rPr>
      </w:pPr>
      <w:r w:rsidRPr="005960E7">
        <w:rPr>
          <w:sz w:val="22"/>
          <w:szCs w:val="22"/>
        </w:rPr>
        <w:t xml:space="preserve">The following NSPS provisions are applicable to </w:t>
      </w:r>
      <w:r w:rsidR="00855525" w:rsidRPr="00855525">
        <w:rPr>
          <w:sz w:val="22"/>
          <w:szCs w:val="22"/>
        </w:rPr>
        <w:t xml:space="preserve">EU </w:t>
      </w:r>
      <w:r w:rsidR="00DF3719">
        <w:rPr>
          <w:sz w:val="22"/>
          <w:szCs w:val="22"/>
        </w:rPr>
        <w:t>001</w:t>
      </w:r>
      <w:r w:rsidRPr="005960E7">
        <w:rPr>
          <w:sz w:val="22"/>
          <w:szCs w:val="22"/>
        </w:rPr>
        <w:t>:</w:t>
      </w:r>
    </w:p>
    <w:p w:rsidR="005960E7" w:rsidRPr="005960E7" w:rsidRDefault="005960E7" w:rsidP="000E68D7">
      <w:pPr>
        <w:widowControl w:val="0"/>
        <w:numPr>
          <w:ilvl w:val="0"/>
          <w:numId w:val="1"/>
        </w:numPr>
        <w:spacing w:after="120"/>
        <w:rPr>
          <w:sz w:val="22"/>
          <w:szCs w:val="22"/>
        </w:rPr>
      </w:pPr>
      <w:r w:rsidRPr="005960E7">
        <w:rPr>
          <w:sz w:val="22"/>
          <w:szCs w:val="22"/>
        </w:rPr>
        <w:t>NSPS, Subpart A (General Provisions);</w:t>
      </w:r>
    </w:p>
    <w:p w:rsidR="005960E7" w:rsidRPr="005960E7" w:rsidRDefault="005960E7" w:rsidP="000E68D7">
      <w:pPr>
        <w:widowControl w:val="0"/>
        <w:numPr>
          <w:ilvl w:val="0"/>
          <w:numId w:val="1"/>
        </w:numPr>
        <w:rPr>
          <w:sz w:val="22"/>
          <w:szCs w:val="22"/>
        </w:rPr>
      </w:pPr>
      <w:r w:rsidRPr="005960E7">
        <w:rPr>
          <w:sz w:val="22"/>
          <w:szCs w:val="22"/>
        </w:rPr>
        <w:t>NSPS, Subpart KKKK (Standards of Performance for Stationary Combustion Turbines that Commenced Construction, Modification or Reconstruction After February 18, 2005);</w:t>
      </w:r>
      <w:r w:rsidR="00FA48A4">
        <w:rPr>
          <w:sz w:val="22"/>
          <w:szCs w:val="22"/>
        </w:rPr>
        <w:t xml:space="preserve"> and</w:t>
      </w:r>
    </w:p>
    <w:p w:rsidR="005960E7" w:rsidRPr="00A5138C" w:rsidRDefault="005960E7" w:rsidP="00FA6353">
      <w:pPr>
        <w:widowControl w:val="0"/>
        <w:spacing w:after="120"/>
        <w:ind w:left="360"/>
        <w:rPr>
          <w:i/>
          <w:sz w:val="22"/>
          <w:szCs w:val="22"/>
        </w:rPr>
      </w:pPr>
      <w:r w:rsidRPr="005960E7">
        <w:rPr>
          <w:i/>
          <w:sz w:val="22"/>
          <w:szCs w:val="22"/>
        </w:rPr>
        <w:t>{Note:  Pursuant to NSPS, Subpart KKKK, the NO</w:t>
      </w:r>
      <w:r w:rsidR="00FA48A4" w:rsidRPr="00FA48A4">
        <w:rPr>
          <w:i/>
          <w:sz w:val="22"/>
          <w:szCs w:val="22"/>
          <w:vertAlign w:val="subscript"/>
        </w:rPr>
        <w:t>X</w:t>
      </w:r>
      <w:r w:rsidRPr="005960E7">
        <w:rPr>
          <w:i/>
          <w:sz w:val="22"/>
          <w:szCs w:val="22"/>
        </w:rPr>
        <w:t xml:space="preserve"> emissions shall not exceed 15 parts per million</w:t>
      </w:r>
      <w:r w:rsidR="00BA4D81">
        <w:rPr>
          <w:i/>
          <w:sz w:val="22"/>
          <w:szCs w:val="22"/>
        </w:rPr>
        <w:t xml:space="preserve"> by</w:t>
      </w:r>
      <w:r w:rsidRPr="005960E7">
        <w:rPr>
          <w:i/>
          <w:sz w:val="22"/>
          <w:szCs w:val="22"/>
        </w:rPr>
        <w:t xml:space="preserve"> </w:t>
      </w:r>
      <w:r w:rsidR="001C7333">
        <w:rPr>
          <w:i/>
          <w:sz w:val="22"/>
          <w:szCs w:val="22"/>
        </w:rPr>
        <w:lastRenderedPageBreak/>
        <w:t>volume</w:t>
      </w:r>
      <w:r w:rsidR="00BA4D81">
        <w:rPr>
          <w:i/>
          <w:sz w:val="22"/>
          <w:szCs w:val="22"/>
        </w:rPr>
        <w:t>,</w:t>
      </w:r>
      <w:r w:rsidR="001C7333">
        <w:rPr>
          <w:i/>
          <w:sz w:val="22"/>
          <w:szCs w:val="22"/>
        </w:rPr>
        <w:t xml:space="preserve"> dry </w:t>
      </w:r>
      <w:r w:rsidRPr="005960E7">
        <w:rPr>
          <w:i/>
          <w:sz w:val="22"/>
          <w:szCs w:val="22"/>
        </w:rPr>
        <w:t>(ppm</w:t>
      </w:r>
      <w:r w:rsidR="001C7333">
        <w:rPr>
          <w:i/>
          <w:sz w:val="22"/>
          <w:szCs w:val="22"/>
        </w:rPr>
        <w:t>vd</w:t>
      </w:r>
      <w:r w:rsidRPr="005960E7">
        <w:rPr>
          <w:i/>
          <w:sz w:val="22"/>
          <w:szCs w:val="22"/>
        </w:rPr>
        <w:t>) at 15% oxygen (O</w:t>
      </w:r>
      <w:r w:rsidRPr="005960E7">
        <w:rPr>
          <w:i/>
          <w:sz w:val="22"/>
          <w:szCs w:val="22"/>
          <w:vertAlign w:val="subscript"/>
        </w:rPr>
        <w:t>2</w:t>
      </w:r>
      <w:r w:rsidRPr="005960E7">
        <w:rPr>
          <w:i/>
          <w:sz w:val="22"/>
          <w:szCs w:val="22"/>
        </w:rPr>
        <w:t>) and</w:t>
      </w:r>
      <w:r w:rsidR="00851469">
        <w:rPr>
          <w:i/>
          <w:sz w:val="22"/>
          <w:szCs w:val="22"/>
        </w:rPr>
        <w:t xml:space="preserve"> </w:t>
      </w:r>
      <w:r w:rsidR="00851469" w:rsidRPr="00BA4D81">
        <w:rPr>
          <w:i/>
          <w:sz w:val="22"/>
          <w:szCs w:val="22"/>
        </w:rPr>
        <w:t>96 ppmvd at</w:t>
      </w:r>
      <w:r w:rsidRPr="00BA4D81">
        <w:rPr>
          <w:i/>
          <w:sz w:val="22"/>
          <w:szCs w:val="22"/>
        </w:rPr>
        <w:t>15</w:t>
      </w:r>
      <w:r w:rsidRPr="005960E7">
        <w:rPr>
          <w:i/>
          <w:sz w:val="22"/>
          <w:szCs w:val="22"/>
        </w:rPr>
        <w:t>% O</w:t>
      </w:r>
      <w:r w:rsidRPr="005960E7">
        <w:rPr>
          <w:i/>
          <w:sz w:val="22"/>
          <w:szCs w:val="22"/>
          <w:vertAlign w:val="subscript"/>
        </w:rPr>
        <w:t>2</w:t>
      </w:r>
      <w:r w:rsidRPr="005960E7">
        <w:rPr>
          <w:i/>
          <w:sz w:val="22"/>
          <w:szCs w:val="22"/>
        </w:rPr>
        <w:t xml:space="preserve"> for operating at less than 75% of peak load.</w:t>
      </w:r>
      <w:r w:rsidR="00FA6353" w:rsidRPr="00FA6353">
        <w:t xml:space="preserve"> </w:t>
      </w:r>
      <w:r w:rsidR="00FA6353">
        <w:t xml:space="preserve"> </w:t>
      </w:r>
      <w:r w:rsidR="00FA6353" w:rsidRPr="00740CC3">
        <w:rPr>
          <w:i/>
        </w:rPr>
        <w:t>T</w:t>
      </w:r>
      <w:r w:rsidR="00FA6353" w:rsidRPr="00FA6353">
        <w:rPr>
          <w:i/>
          <w:sz w:val="22"/>
          <w:szCs w:val="22"/>
        </w:rPr>
        <w:t>he emission standards of this NSPS also apply to the duct</w:t>
      </w:r>
      <w:r w:rsidR="00FA6353">
        <w:rPr>
          <w:i/>
          <w:sz w:val="22"/>
          <w:szCs w:val="22"/>
        </w:rPr>
        <w:t xml:space="preserve"> </w:t>
      </w:r>
      <w:r w:rsidR="00FA6353" w:rsidRPr="00FA6353">
        <w:rPr>
          <w:i/>
          <w:sz w:val="22"/>
          <w:szCs w:val="22"/>
        </w:rPr>
        <w:t>burners</w:t>
      </w:r>
      <w:r w:rsidR="00FA6353">
        <w:rPr>
          <w:i/>
          <w:sz w:val="22"/>
          <w:szCs w:val="22"/>
        </w:rPr>
        <w:t>.</w:t>
      </w:r>
      <w:r w:rsidR="00A5138C" w:rsidRPr="00A5138C">
        <w:rPr>
          <w:rFonts w:ascii="Open Sans" w:hAnsi="Open Sans"/>
        </w:rPr>
        <w:t xml:space="preserve"> </w:t>
      </w:r>
      <w:r w:rsidR="00A5138C">
        <w:rPr>
          <w:rFonts w:ascii="Open Sans" w:hAnsi="Open Sans"/>
        </w:rPr>
        <w:t xml:space="preserve"> </w:t>
      </w:r>
      <w:r w:rsidR="00A5138C" w:rsidRPr="00A5138C">
        <w:rPr>
          <w:i/>
          <w:sz w:val="22"/>
          <w:szCs w:val="22"/>
        </w:rPr>
        <w:t xml:space="preserve">The </w:t>
      </w:r>
      <w:r w:rsidR="00A5138C">
        <w:rPr>
          <w:i/>
          <w:sz w:val="22"/>
          <w:szCs w:val="22"/>
        </w:rPr>
        <w:t>NO</w:t>
      </w:r>
      <w:r w:rsidR="00A5138C" w:rsidRPr="00A5138C">
        <w:rPr>
          <w:i/>
          <w:sz w:val="22"/>
          <w:szCs w:val="22"/>
          <w:vertAlign w:val="subscript"/>
        </w:rPr>
        <w:t>X</w:t>
      </w:r>
      <w:r w:rsidR="00A5138C">
        <w:rPr>
          <w:i/>
          <w:sz w:val="22"/>
          <w:szCs w:val="22"/>
        </w:rPr>
        <w:t xml:space="preserve"> </w:t>
      </w:r>
      <w:r w:rsidR="00A5138C" w:rsidRPr="00A5138C">
        <w:rPr>
          <w:i/>
          <w:sz w:val="22"/>
          <w:szCs w:val="22"/>
        </w:rPr>
        <w:t>emission standards are on a 30-unit operating day rolling average basis</w:t>
      </w:r>
      <w:r w:rsidRPr="005960E7">
        <w:rPr>
          <w:i/>
          <w:sz w:val="22"/>
          <w:szCs w:val="22"/>
        </w:rPr>
        <w:t>}</w:t>
      </w:r>
    </w:p>
    <w:p w:rsidR="005960E7" w:rsidRPr="005960E7" w:rsidRDefault="005960E7" w:rsidP="000E68D7">
      <w:pPr>
        <w:widowControl w:val="0"/>
        <w:numPr>
          <w:ilvl w:val="0"/>
          <w:numId w:val="1"/>
        </w:numPr>
        <w:rPr>
          <w:sz w:val="22"/>
          <w:szCs w:val="22"/>
        </w:rPr>
      </w:pPr>
      <w:r w:rsidRPr="005960E7">
        <w:rPr>
          <w:sz w:val="22"/>
          <w:szCs w:val="22"/>
        </w:rPr>
        <w:t>NSPS, Subpart TTTT (Standards of Performance for Greenhouse Gas for Electric Generating Units);</w:t>
      </w:r>
    </w:p>
    <w:p w:rsidR="002E7D09" w:rsidRPr="00855525" w:rsidRDefault="005960E7" w:rsidP="00855525">
      <w:pPr>
        <w:widowControl w:val="0"/>
        <w:spacing w:after="120"/>
        <w:ind w:left="360"/>
        <w:rPr>
          <w:sz w:val="22"/>
        </w:rPr>
      </w:pPr>
      <w:r w:rsidRPr="00855525">
        <w:rPr>
          <w:i/>
          <w:sz w:val="22"/>
          <w:szCs w:val="22"/>
        </w:rPr>
        <w:t xml:space="preserve">{Note:  Under NSPS, Subpart TTTT, baseload combustion turbines that combust more than 90% natural gas are subject to a </w:t>
      </w:r>
      <w:r w:rsidRPr="00855525">
        <w:rPr>
          <w:i/>
          <w:sz w:val="24"/>
          <w:szCs w:val="22"/>
        </w:rPr>
        <w:t>standard</w:t>
      </w:r>
      <w:r w:rsidRPr="00855525">
        <w:rPr>
          <w:i/>
          <w:sz w:val="22"/>
          <w:szCs w:val="22"/>
        </w:rPr>
        <w:t xml:space="preserve"> of 1,000 lb CO</w:t>
      </w:r>
      <w:r w:rsidRPr="00855525">
        <w:rPr>
          <w:i/>
          <w:sz w:val="22"/>
          <w:szCs w:val="22"/>
          <w:vertAlign w:val="subscript"/>
        </w:rPr>
        <w:t>2</w:t>
      </w:r>
      <w:r w:rsidRPr="00855525">
        <w:rPr>
          <w:i/>
          <w:sz w:val="22"/>
          <w:szCs w:val="22"/>
        </w:rPr>
        <w:t xml:space="preserve"> per megawatt-hour (MWh), gross, on a 12-operating-month </w:t>
      </w:r>
      <w:r w:rsidR="00851469">
        <w:rPr>
          <w:i/>
          <w:sz w:val="22"/>
          <w:szCs w:val="22"/>
        </w:rPr>
        <w:t>rolling average basis.  For gas</w:t>
      </w:r>
      <w:r w:rsidRPr="00855525">
        <w:rPr>
          <w:i/>
          <w:sz w:val="22"/>
          <w:szCs w:val="22"/>
        </w:rPr>
        <w:t>-fired turbines under Subpart TTTT, and under the Acid Rain continuous monitoring provisions of 40 CFR 75, emissions of CO</w:t>
      </w:r>
      <w:r w:rsidRPr="00855525">
        <w:rPr>
          <w:i/>
          <w:sz w:val="22"/>
          <w:szCs w:val="22"/>
          <w:vertAlign w:val="subscript"/>
        </w:rPr>
        <w:t>2</w:t>
      </w:r>
      <w:r w:rsidRPr="00855525">
        <w:rPr>
          <w:i/>
          <w:sz w:val="22"/>
          <w:szCs w:val="22"/>
        </w:rPr>
        <w:t xml:space="preserve"> may be measured using a continuous emissions monitor, or through fuel use monitoring and emissions factors.}</w:t>
      </w:r>
    </w:p>
    <w:p w:rsidR="00584D97" w:rsidRPr="005601DE" w:rsidRDefault="00584D97" w:rsidP="005601DE">
      <w:pPr>
        <w:pStyle w:val="ListParagraph"/>
        <w:widowControl w:val="0"/>
        <w:numPr>
          <w:ilvl w:val="2"/>
          <w:numId w:val="3"/>
        </w:numPr>
        <w:spacing w:after="120"/>
        <w:ind w:left="720" w:hanging="720"/>
        <w:contextualSpacing w:val="0"/>
        <w:rPr>
          <w:caps/>
          <w:sz w:val="22"/>
          <w:szCs w:val="22"/>
          <w:u w:val="single"/>
        </w:rPr>
      </w:pPr>
      <w:r w:rsidRPr="005601DE">
        <w:rPr>
          <w:sz w:val="22"/>
          <w:szCs w:val="22"/>
          <w:u w:val="single"/>
        </w:rPr>
        <w:t xml:space="preserve">BACT Review </w:t>
      </w:r>
      <w:r w:rsidR="00190881" w:rsidRPr="005601DE">
        <w:rPr>
          <w:sz w:val="22"/>
          <w:szCs w:val="22"/>
          <w:u w:val="single"/>
        </w:rPr>
        <w:t>for</w:t>
      </w:r>
      <w:r w:rsidR="00DE7DE2" w:rsidRPr="005601DE">
        <w:rPr>
          <w:u w:val="single"/>
        </w:rPr>
        <w:t xml:space="preserve"> </w:t>
      </w:r>
      <w:r w:rsidR="00DE7DE2" w:rsidRPr="005601DE">
        <w:rPr>
          <w:sz w:val="22"/>
          <w:szCs w:val="22"/>
          <w:u w:val="single"/>
        </w:rPr>
        <w:t xml:space="preserve">EU </w:t>
      </w:r>
      <w:r w:rsidR="00DF3719">
        <w:rPr>
          <w:sz w:val="22"/>
          <w:szCs w:val="22"/>
          <w:u w:val="single"/>
        </w:rPr>
        <w:t>001</w:t>
      </w:r>
    </w:p>
    <w:p w:rsidR="00A63DC4" w:rsidRPr="00AE0127" w:rsidRDefault="00AE0127" w:rsidP="00962BE4">
      <w:pPr>
        <w:widowControl w:val="0"/>
        <w:spacing w:after="120"/>
        <w:rPr>
          <w:sz w:val="22"/>
          <w:szCs w:val="22"/>
        </w:rPr>
      </w:pPr>
      <w:r w:rsidRPr="00AE0127">
        <w:rPr>
          <w:sz w:val="22"/>
          <w:szCs w:val="22"/>
        </w:rPr>
        <w:t xml:space="preserve">This project did not trigger PSD for </w:t>
      </w:r>
      <w:r w:rsidR="006C0F21">
        <w:rPr>
          <w:sz w:val="22"/>
          <w:szCs w:val="22"/>
        </w:rPr>
        <w:t>VOC</w:t>
      </w:r>
      <w:r w:rsidRPr="00AE0127">
        <w:rPr>
          <w:sz w:val="22"/>
          <w:szCs w:val="22"/>
        </w:rPr>
        <w:t xml:space="preserve"> emissions.  Therefore, the</w:t>
      </w:r>
      <w:r w:rsidR="006C0F21">
        <w:rPr>
          <w:sz w:val="22"/>
          <w:szCs w:val="22"/>
        </w:rPr>
        <w:t xml:space="preserve"> BACT review for </w:t>
      </w:r>
      <w:r w:rsidR="00946101">
        <w:rPr>
          <w:sz w:val="22"/>
          <w:szCs w:val="22"/>
        </w:rPr>
        <w:t xml:space="preserve">the </w:t>
      </w:r>
      <w:r w:rsidR="006C0F21">
        <w:rPr>
          <w:sz w:val="22"/>
          <w:szCs w:val="22"/>
        </w:rPr>
        <w:t>CTG</w:t>
      </w:r>
      <w:r w:rsidRPr="00AE0127">
        <w:rPr>
          <w:sz w:val="22"/>
          <w:szCs w:val="22"/>
        </w:rPr>
        <w:t xml:space="preserve"> will only pertain to </w:t>
      </w:r>
      <w:r w:rsidR="006C0F21">
        <w:rPr>
          <w:sz w:val="22"/>
          <w:szCs w:val="22"/>
        </w:rPr>
        <w:t>NO</w:t>
      </w:r>
      <w:r w:rsidR="006C0F21" w:rsidRPr="006C0F21">
        <w:rPr>
          <w:sz w:val="22"/>
          <w:szCs w:val="22"/>
          <w:vertAlign w:val="subscript"/>
        </w:rPr>
        <w:t>X</w:t>
      </w:r>
      <w:r w:rsidRPr="00AE0127">
        <w:rPr>
          <w:sz w:val="22"/>
          <w:szCs w:val="22"/>
        </w:rPr>
        <w:t xml:space="preserve">, </w:t>
      </w:r>
      <w:r w:rsidR="00B31D0D" w:rsidRPr="00AE0127">
        <w:rPr>
          <w:sz w:val="22"/>
          <w:szCs w:val="22"/>
        </w:rPr>
        <w:t xml:space="preserve">CO, </w:t>
      </w:r>
      <w:r w:rsidRPr="00AE0127">
        <w:rPr>
          <w:sz w:val="22"/>
          <w:szCs w:val="22"/>
        </w:rPr>
        <w:t>PM/PM</w:t>
      </w:r>
      <w:r w:rsidRPr="006C0F21">
        <w:rPr>
          <w:sz w:val="22"/>
          <w:szCs w:val="22"/>
          <w:vertAlign w:val="subscript"/>
        </w:rPr>
        <w:t>10</w:t>
      </w:r>
      <w:r w:rsidRPr="00AE0127">
        <w:rPr>
          <w:sz w:val="22"/>
          <w:szCs w:val="22"/>
        </w:rPr>
        <w:t>/PM</w:t>
      </w:r>
      <w:r w:rsidRPr="006C0F21">
        <w:rPr>
          <w:sz w:val="22"/>
          <w:szCs w:val="22"/>
          <w:vertAlign w:val="subscript"/>
        </w:rPr>
        <w:t>2.5</w:t>
      </w:r>
      <w:r w:rsidRPr="00AE0127">
        <w:rPr>
          <w:sz w:val="22"/>
          <w:szCs w:val="22"/>
        </w:rPr>
        <w:t>, SO</w:t>
      </w:r>
      <w:r w:rsidRPr="006C0F21">
        <w:rPr>
          <w:sz w:val="22"/>
          <w:szCs w:val="22"/>
          <w:vertAlign w:val="subscript"/>
        </w:rPr>
        <w:t>2</w:t>
      </w:r>
      <w:r w:rsidRPr="00AE0127">
        <w:rPr>
          <w:sz w:val="22"/>
          <w:szCs w:val="22"/>
        </w:rPr>
        <w:t xml:space="preserve"> (including SAM) and GHG emissions</w:t>
      </w:r>
      <w:r w:rsidR="005F3FF9">
        <w:rPr>
          <w:sz w:val="22"/>
          <w:szCs w:val="22"/>
        </w:rPr>
        <w:t>.</w:t>
      </w:r>
    </w:p>
    <w:p w:rsidR="00B31D0D" w:rsidRPr="005601DE" w:rsidRDefault="00B31D0D" w:rsidP="005601DE">
      <w:pPr>
        <w:pStyle w:val="ListParagraph"/>
        <w:widowControl w:val="0"/>
        <w:numPr>
          <w:ilvl w:val="3"/>
          <w:numId w:val="3"/>
        </w:numPr>
        <w:spacing w:after="120"/>
        <w:ind w:left="720" w:hanging="720"/>
        <w:contextualSpacing w:val="0"/>
        <w:rPr>
          <w:i/>
          <w:caps/>
          <w:sz w:val="22"/>
          <w:szCs w:val="22"/>
          <w:u w:val="single"/>
        </w:rPr>
      </w:pPr>
      <w:r w:rsidRPr="005601DE">
        <w:rPr>
          <w:i/>
          <w:sz w:val="22"/>
          <w:szCs w:val="22"/>
        </w:rPr>
        <w:t>NO</w:t>
      </w:r>
      <w:r w:rsidRPr="005601DE">
        <w:rPr>
          <w:i/>
          <w:sz w:val="22"/>
          <w:szCs w:val="22"/>
          <w:vertAlign w:val="subscript"/>
        </w:rPr>
        <w:t>X</w:t>
      </w:r>
      <w:r w:rsidRPr="005601DE">
        <w:rPr>
          <w:i/>
          <w:sz w:val="22"/>
          <w:szCs w:val="22"/>
        </w:rPr>
        <w:t xml:space="preserve"> Emissions</w:t>
      </w:r>
      <w:r w:rsidR="00BD2841" w:rsidRPr="005601DE">
        <w:rPr>
          <w:i/>
          <w:sz w:val="22"/>
          <w:szCs w:val="22"/>
        </w:rPr>
        <w:t xml:space="preserve"> </w:t>
      </w:r>
    </w:p>
    <w:p w:rsidR="00B31D0D" w:rsidRPr="004F3CA9" w:rsidRDefault="001D0520" w:rsidP="00850581">
      <w:pPr>
        <w:widowControl w:val="0"/>
        <w:spacing w:after="120"/>
        <w:rPr>
          <w:sz w:val="22"/>
          <w:szCs w:val="22"/>
        </w:rPr>
      </w:pPr>
      <w:bookmarkStart w:id="22" w:name="_Hlk508869690"/>
      <w:r>
        <w:rPr>
          <w:sz w:val="22"/>
          <w:szCs w:val="22"/>
        </w:rPr>
        <w:t>T</w:t>
      </w:r>
      <w:r w:rsidRPr="001D0520">
        <w:rPr>
          <w:sz w:val="22"/>
          <w:szCs w:val="22"/>
        </w:rPr>
        <w:t>he am</w:t>
      </w:r>
      <w:r>
        <w:rPr>
          <w:sz w:val="22"/>
          <w:szCs w:val="22"/>
        </w:rPr>
        <w:t>ount of NO</w:t>
      </w:r>
      <w:r w:rsidR="00FA48A4" w:rsidRPr="00FA48A4">
        <w:rPr>
          <w:sz w:val="22"/>
          <w:szCs w:val="22"/>
          <w:vertAlign w:val="subscript"/>
        </w:rPr>
        <w:t>X</w:t>
      </w:r>
      <w:r>
        <w:rPr>
          <w:sz w:val="22"/>
          <w:szCs w:val="22"/>
        </w:rPr>
        <w:t xml:space="preserve"> </w:t>
      </w:r>
      <w:r w:rsidRPr="001D0520">
        <w:rPr>
          <w:sz w:val="22"/>
          <w:szCs w:val="22"/>
        </w:rPr>
        <w:t>produced by a combustor increases with the value of the flame temperature in</w:t>
      </w:r>
      <w:r>
        <w:rPr>
          <w:sz w:val="22"/>
          <w:szCs w:val="22"/>
        </w:rPr>
        <w:t xml:space="preserve"> </w:t>
      </w:r>
      <w:r w:rsidRPr="001D0520">
        <w:rPr>
          <w:sz w:val="22"/>
          <w:szCs w:val="22"/>
        </w:rPr>
        <w:t>the combustor and the corresponding value of</w:t>
      </w:r>
      <w:r>
        <w:rPr>
          <w:sz w:val="22"/>
          <w:szCs w:val="22"/>
        </w:rPr>
        <w:t xml:space="preserve"> turbine inlet temperature</w:t>
      </w:r>
      <w:r w:rsidR="00B31D0D" w:rsidRPr="004F3CA9">
        <w:rPr>
          <w:sz w:val="22"/>
          <w:szCs w:val="22"/>
        </w:rPr>
        <w:t xml:space="preserve">.  Nearly all of the </w:t>
      </w:r>
      <w:r w:rsidR="009677A9">
        <w:rPr>
          <w:sz w:val="22"/>
          <w:szCs w:val="22"/>
        </w:rPr>
        <w:t>NO</w:t>
      </w:r>
      <w:r w:rsidR="009677A9" w:rsidRPr="00FA48A4">
        <w:rPr>
          <w:sz w:val="22"/>
          <w:szCs w:val="22"/>
          <w:vertAlign w:val="subscript"/>
        </w:rPr>
        <w:t>X</w:t>
      </w:r>
      <w:r w:rsidR="00B31D0D" w:rsidRPr="004F3CA9">
        <w:rPr>
          <w:sz w:val="22"/>
          <w:szCs w:val="22"/>
        </w:rPr>
        <w:t xml:space="preserve"> is emitted as nitric oxide (NO), which is readily oxidized in the exhaust system or the atmosphere to the more stable NO</w:t>
      </w:r>
      <w:r w:rsidR="00B31D0D" w:rsidRPr="003739F0">
        <w:rPr>
          <w:sz w:val="22"/>
          <w:szCs w:val="22"/>
          <w:vertAlign w:val="subscript"/>
        </w:rPr>
        <w:t>2</w:t>
      </w:r>
      <w:r w:rsidR="00B31D0D" w:rsidRPr="004F3CA9">
        <w:rPr>
          <w:sz w:val="22"/>
          <w:szCs w:val="22"/>
        </w:rPr>
        <w:t xml:space="preserve"> molecule (nitrogen dioxide).  NO</w:t>
      </w:r>
      <w:r w:rsidR="00FA48A4" w:rsidRPr="00FA48A4">
        <w:rPr>
          <w:sz w:val="22"/>
          <w:szCs w:val="22"/>
          <w:vertAlign w:val="subscript"/>
        </w:rPr>
        <w:t>X</w:t>
      </w:r>
      <w:r w:rsidR="00B31D0D" w:rsidRPr="004F3CA9">
        <w:rPr>
          <w:sz w:val="22"/>
          <w:szCs w:val="22"/>
        </w:rPr>
        <w:t xml:space="preserve"> forms from the dissociation of molecular nitrogen and oxygen into their atomic forms and subsequent recombination into seven different oxides of nitrogen.  Three primary mechanisms cause </w:t>
      </w:r>
      <w:r w:rsidR="009677A9">
        <w:rPr>
          <w:sz w:val="22"/>
          <w:szCs w:val="22"/>
        </w:rPr>
        <w:t>NO</w:t>
      </w:r>
      <w:r w:rsidR="009677A9" w:rsidRPr="00FA48A4">
        <w:rPr>
          <w:sz w:val="22"/>
          <w:szCs w:val="22"/>
          <w:vertAlign w:val="subscript"/>
        </w:rPr>
        <w:t>X</w:t>
      </w:r>
      <w:r w:rsidR="00B31D0D" w:rsidRPr="004F3CA9">
        <w:rPr>
          <w:sz w:val="22"/>
          <w:szCs w:val="22"/>
        </w:rPr>
        <w:t xml:space="preserve"> emissions:</w:t>
      </w:r>
    </w:p>
    <w:p w:rsidR="00B31D0D" w:rsidRPr="004F3CA9" w:rsidRDefault="00B31D0D" w:rsidP="00B31D0D">
      <w:pPr>
        <w:widowControl w:val="0"/>
        <w:spacing w:after="120"/>
        <w:ind w:left="360" w:hanging="360"/>
        <w:rPr>
          <w:sz w:val="22"/>
          <w:szCs w:val="22"/>
        </w:rPr>
      </w:pPr>
      <w:r w:rsidRPr="004F3CA9">
        <w:rPr>
          <w:sz w:val="22"/>
          <w:szCs w:val="22"/>
        </w:rPr>
        <w:t>•</w:t>
      </w:r>
      <w:r w:rsidRPr="004F3CA9">
        <w:rPr>
          <w:sz w:val="22"/>
          <w:szCs w:val="22"/>
        </w:rPr>
        <w:tab/>
        <w:t>Thermal NO</w:t>
      </w:r>
      <w:r w:rsidR="00FA48A4" w:rsidRPr="00FA48A4">
        <w:rPr>
          <w:sz w:val="22"/>
          <w:szCs w:val="22"/>
          <w:vertAlign w:val="subscript"/>
        </w:rPr>
        <w:t>X</w:t>
      </w:r>
      <w:r w:rsidRPr="004F3CA9">
        <w:rPr>
          <w:sz w:val="22"/>
          <w:szCs w:val="22"/>
        </w:rPr>
        <w:t xml:space="preserve"> forms in the high temperature area of the gas turbine combustor.  It increases exponentially with increases in flame temperature and linearly with increases in residence time.  Flame temperature is dependent upon the ratio of fuel burned in a flame to the amount of fuel that consumes all of the available oxygen.  Less </w:t>
      </w:r>
      <w:r w:rsidR="009677A9">
        <w:rPr>
          <w:sz w:val="22"/>
          <w:szCs w:val="22"/>
        </w:rPr>
        <w:t>NO</w:t>
      </w:r>
      <w:r w:rsidR="009677A9" w:rsidRPr="00FA48A4">
        <w:rPr>
          <w:sz w:val="22"/>
          <w:szCs w:val="22"/>
          <w:vertAlign w:val="subscript"/>
        </w:rPr>
        <w:t>X</w:t>
      </w:r>
      <w:r w:rsidRPr="004F3CA9">
        <w:rPr>
          <w:sz w:val="22"/>
          <w:szCs w:val="22"/>
        </w:rPr>
        <w:t xml:space="preserve"> is formed during lean combustion (low fuel-to-air ratio) because the flame temperature is lower.</w:t>
      </w:r>
    </w:p>
    <w:p w:rsidR="00B31D0D" w:rsidRPr="004F3CA9" w:rsidRDefault="00B31D0D" w:rsidP="00B31D0D">
      <w:pPr>
        <w:widowControl w:val="0"/>
        <w:spacing w:after="120"/>
        <w:ind w:left="360" w:hanging="360"/>
        <w:rPr>
          <w:sz w:val="22"/>
          <w:szCs w:val="22"/>
        </w:rPr>
      </w:pPr>
      <w:r w:rsidRPr="004F3CA9">
        <w:rPr>
          <w:sz w:val="22"/>
          <w:szCs w:val="22"/>
        </w:rPr>
        <w:t>•</w:t>
      </w:r>
      <w:r w:rsidRPr="004F3CA9">
        <w:rPr>
          <w:sz w:val="22"/>
          <w:szCs w:val="22"/>
        </w:rPr>
        <w:tab/>
        <w:t>Prompt NO</w:t>
      </w:r>
      <w:r w:rsidR="00FA48A4" w:rsidRPr="00FA48A4">
        <w:rPr>
          <w:sz w:val="22"/>
          <w:szCs w:val="22"/>
          <w:vertAlign w:val="subscript"/>
        </w:rPr>
        <w:t>X</w:t>
      </w:r>
      <w:r w:rsidRPr="004F3CA9">
        <w:rPr>
          <w:sz w:val="22"/>
          <w:szCs w:val="22"/>
        </w:rPr>
        <w:t xml:space="preserve"> is formed in the proximity of the flame front as intermediate combustion products.  The contribution of prompt NO</w:t>
      </w:r>
      <w:r w:rsidR="00FA48A4" w:rsidRPr="00FA48A4">
        <w:rPr>
          <w:sz w:val="22"/>
          <w:szCs w:val="22"/>
          <w:vertAlign w:val="subscript"/>
        </w:rPr>
        <w:t>X</w:t>
      </w:r>
      <w:r w:rsidRPr="004F3CA9">
        <w:rPr>
          <w:sz w:val="22"/>
          <w:szCs w:val="22"/>
        </w:rPr>
        <w:t xml:space="preserve"> to overall NOx emissions is relatively small in combustors that operate near the stoichiometric air-to-fuel ratio.  However, new combustors that operate in lean premix mode generate far less thermal NO</w:t>
      </w:r>
      <w:r w:rsidR="00FA48A4" w:rsidRPr="00FA48A4">
        <w:rPr>
          <w:sz w:val="22"/>
          <w:szCs w:val="22"/>
          <w:vertAlign w:val="subscript"/>
        </w:rPr>
        <w:t>X</w:t>
      </w:r>
      <w:r w:rsidRPr="004F3CA9">
        <w:rPr>
          <w:sz w:val="22"/>
          <w:szCs w:val="22"/>
        </w:rPr>
        <w:t>, which makes prompt NO</w:t>
      </w:r>
      <w:r w:rsidR="00FA48A4" w:rsidRPr="00FA48A4">
        <w:rPr>
          <w:sz w:val="22"/>
          <w:szCs w:val="22"/>
          <w:vertAlign w:val="subscript"/>
        </w:rPr>
        <w:t>X</w:t>
      </w:r>
      <w:r w:rsidRPr="004F3CA9">
        <w:rPr>
          <w:sz w:val="22"/>
          <w:szCs w:val="22"/>
        </w:rPr>
        <w:t xml:space="preserve"> a greater contributor to overall NO</w:t>
      </w:r>
      <w:r w:rsidR="00FA48A4" w:rsidRPr="00FA48A4">
        <w:rPr>
          <w:sz w:val="22"/>
          <w:szCs w:val="22"/>
          <w:vertAlign w:val="subscript"/>
        </w:rPr>
        <w:t>X</w:t>
      </w:r>
      <w:r w:rsidRPr="004F3CA9">
        <w:rPr>
          <w:sz w:val="22"/>
          <w:szCs w:val="22"/>
        </w:rPr>
        <w:t xml:space="preserve"> emissions for these types of units.  Therefore, prompt NOx may provide a practical limit for </w:t>
      </w:r>
      <w:r w:rsidR="00FA48A4" w:rsidRPr="004F3CA9">
        <w:rPr>
          <w:sz w:val="22"/>
          <w:szCs w:val="22"/>
        </w:rPr>
        <w:t>NO</w:t>
      </w:r>
      <w:r w:rsidR="00FA48A4" w:rsidRPr="00FA48A4">
        <w:rPr>
          <w:sz w:val="22"/>
          <w:szCs w:val="22"/>
          <w:vertAlign w:val="subscript"/>
        </w:rPr>
        <w:t>X</w:t>
      </w:r>
      <w:r w:rsidRPr="004F3CA9">
        <w:rPr>
          <w:sz w:val="22"/>
          <w:szCs w:val="22"/>
        </w:rPr>
        <w:t xml:space="preserve"> control by lean combustion.</w:t>
      </w:r>
    </w:p>
    <w:p w:rsidR="00B31D0D" w:rsidRPr="004F3CA9" w:rsidRDefault="00B31D0D" w:rsidP="00B31D0D">
      <w:pPr>
        <w:widowControl w:val="0"/>
        <w:spacing w:after="120"/>
        <w:ind w:left="360" w:hanging="360"/>
        <w:rPr>
          <w:sz w:val="22"/>
          <w:szCs w:val="22"/>
        </w:rPr>
      </w:pPr>
      <w:r w:rsidRPr="004F3CA9">
        <w:rPr>
          <w:sz w:val="22"/>
          <w:szCs w:val="22"/>
        </w:rPr>
        <w:t>•</w:t>
      </w:r>
      <w:r w:rsidRPr="004F3CA9">
        <w:rPr>
          <w:sz w:val="22"/>
          <w:szCs w:val="22"/>
        </w:rPr>
        <w:tab/>
        <w:t xml:space="preserve">Fuel </w:t>
      </w:r>
      <w:r w:rsidR="00FA48A4" w:rsidRPr="004F3CA9">
        <w:rPr>
          <w:sz w:val="22"/>
          <w:szCs w:val="22"/>
        </w:rPr>
        <w:t>NO</w:t>
      </w:r>
      <w:r w:rsidR="00FA48A4" w:rsidRPr="00FA48A4">
        <w:rPr>
          <w:sz w:val="22"/>
          <w:szCs w:val="22"/>
          <w:vertAlign w:val="subscript"/>
        </w:rPr>
        <w:t>X</w:t>
      </w:r>
      <w:r w:rsidRPr="004F3CA9">
        <w:rPr>
          <w:sz w:val="22"/>
          <w:szCs w:val="22"/>
        </w:rPr>
        <w:t xml:space="preserve"> forms from the oxidation of nitrogen in the fuel.  This phenomenon is not important when combusting natural gas or distillate oil fuels, which contain negligible fuel-bound nitrogen (FBN).</w:t>
      </w:r>
    </w:p>
    <w:p w:rsidR="00B31D0D" w:rsidRPr="004F3CA9" w:rsidRDefault="0081157D" w:rsidP="00B31D0D">
      <w:pPr>
        <w:widowControl w:val="0"/>
        <w:spacing w:after="120"/>
        <w:rPr>
          <w:sz w:val="22"/>
          <w:szCs w:val="22"/>
        </w:rPr>
      </w:pPr>
      <w:r>
        <w:rPr>
          <w:sz w:val="22"/>
          <w:szCs w:val="22"/>
        </w:rPr>
        <w:t>C</w:t>
      </w:r>
      <w:r w:rsidR="001D0520">
        <w:rPr>
          <w:sz w:val="22"/>
          <w:szCs w:val="22"/>
        </w:rPr>
        <w:t xml:space="preserve">ontrolling </w:t>
      </w:r>
      <w:r w:rsidR="00FA48A4" w:rsidRPr="004F3CA9">
        <w:rPr>
          <w:sz w:val="22"/>
          <w:szCs w:val="22"/>
        </w:rPr>
        <w:t>NO</w:t>
      </w:r>
      <w:r w:rsidR="00FA48A4" w:rsidRPr="00FA48A4">
        <w:rPr>
          <w:sz w:val="22"/>
          <w:szCs w:val="22"/>
          <w:vertAlign w:val="subscript"/>
        </w:rPr>
        <w:t>X</w:t>
      </w:r>
      <w:r w:rsidR="001D0520">
        <w:rPr>
          <w:sz w:val="22"/>
          <w:szCs w:val="22"/>
        </w:rPr>
        <w:t xml:space="preserve"> emissions is significantly important</w:t>
      </w:r>
      <w:r w:rsidRPr="0081157D">
        <w:rPr>
          <w:sz w:val="22"/>
          <w:szCs w:val="22"/>
        </w:rPr>
        <w:t xml:space="preserve"> </w:t>
      </w:r>
      <w:r>
        <w:rPr>
          <w:sz w:val="22"/>
          <w:szCs w:val="22"/>
        </w:rPr>
        <w:t>for various reasons</w:t>
      </w:r>
      <w:r w:rsidR="001D0520">
        <w:rPr>
          <w:sz w:val="22"/>
          <w:szCs w:val="22"/>
        </w:rPr>
        <w:t xml:space="preserve">, including </w:t>
      </w:r>
      <w:r w:rsidR="00116483">
        <w:rPr>
          <w:sz w:val="22"/>
          <w:szCs w:val="22"/>
        </w:rPr>
        <w:t>its</w:t>
      </w:r>
      <w:r w:rsidR="001D0520">
        <w:rPr>
          <w:sz w:val="22"/>
          <w:szCs w:val="22"/>
        </w:rPr>
        <w:t xml:space="preserve"> contribution to acid rain.</w:t>
      </w:r>
    </w:p>
    <w:p w:rsidR="00B31D0D" w:rsidRPr="006C19BE" w:rsidRDefault="00B31D0D" w:rsidP="00B31D0D">
      <w:pPr>
        <w:widowControl w:val="0"/>
        <w:spacing w:after="120"/>
        <w:rPr>
          <w:sz w:val="22"/>
          <w:szCs w:val="22"/>
          <w:u w:val="single"/>
        </w:rPr>
      </w:pPr>
      <w:r w:rsidRPr="006C19BE">
        <w:rPr>
          <w:sz w:val="22"/>
          <w:szCs w:val="22"/>
          <w:u w:val="single"/>
        </w:rPr>
        <w:t>Identification of Control Technologies</w:t>
      </w:r>
    </w:p>
    <w:p w:rsidR="00B31D0D" w:rsidRPr="00507788" w:rsidRDefault="00B31D0D" w:rsidP="00B31D0D">
      <w:pPr>
        <w:tabs>
          <w:tab w:val="left" w:pos="630"/>
        </w:tabs>
        <w:spacing w:after="120"/>
        <w:rPr>
          <w:sz w:val="22"/>
        </w:rPr>
      </w:pPr>
      <w:r w:rsidRPr="00507788">
        <w:rPr>
          <w:sz w:val="22"/>
        </w:rPr>
        <w:t>The following technologies were identified as potentially applicable for the control of NO</w:t>
      </w:r>
      <w:r w:rsidR="00181CFF" w:rsidRPr="00181CFF">
        <w:rPr>
          <w:sz w:val="22"/>
          <w:vertAlign w:val="subscript"/>
        </w:rPr>
        <w:t>X</w:t>
      </w:r>
      <w:r w:rsidRPr="00507788">
        <w:rPr>
          <w:sz w:val="22"/>
        </w:rPr>
        <w:t xml:space="preserve"> from gas turbines.  A brief description of each technology is included with </w:t>
      </w:r>
      <w:r w:rsidR="00715714">
        <w:rPr>
          <w:sz w:val="22"/>
        </w:rPr>
        <w:t>an estimated control efficiency</w:t>
      </w:r>
      <w:r w:rsidRPr="00507788">
        <w:rPr>
          <w:sz w:val="22"/>
        </w:rPr>
        <w:t>.</w:t>
      </w:r>
    </w:p>
    <w:p w:rsidR="0047651F" w:rsidRDefault="0047651F" w:rsidP="008D00D2">
      <w:pPr>
        <w:widowControl w:val="0"/>
        <w:tabs>
          <w:tab w:val="left" w:pos="630"/>
        </w:tabs>
        <w:spacing w:after="120"/>
        <w:rPr>
          <w:sz w:val="22"/>
        </w:rPr>
      </w:pPr>
      <w:r w:rsidRPr="00507788">
        <w:rPr>
          <w:i/>
          <w:sz w:val="22"/>
        </w:rPr>
        <w:t>Wet Injection (WI)</w:t>
      </w:r>
      <w:r w:rsidR="00FB3B44">
        <w:rPr>
          <w:sz w:val="22"/>
        </w:rPr>
        <w:t>:</w:t>
      </w:r>
      <w:r w:rsidRPr="00507788">
        <w:rPr>
          <w:sz w:val="22"/>
        </w:rPr>
        <w:t xml:space="preserve">  Water or steam is injected into the primary combustion zone to reduce the flame temperature, resulting in lower </w:t>
      </w:r>
      <w:r w:rsidR="00FA48A4" w:rsidRPr="004F3CA9">
        <w:rPr>
          <w:sz w:val="22"/>
          <w:szCs w:val="22"/>
        </w:rPr>
        <w:t>NO</w:t>
      </w:r>
      <w:r w:rsidR="00FA48A4" w:rsidRPr="00FA48A4">
        <w:rPr>
          <w:sz w:val="22"/>
          <w:szCs w:val="22"/>
          <w:vertAlign w:val="subscript"/>
        </w:rPr>
        <w:t>X</w:t>
      </w:r>
      <w:r w:rsidRPr="00507788">
        <w:rPr>
          <w:sz w:val="22"/>
        </w:rPr>
        <w:t xml:space="preserve"> emissions.  Water injected into this zone acts as a heat sink by absorbing </w:t>
      </w:r>
      <w:r w:rsidR="00A5138C">
        <w:rPr>
          <w:sz w:val="22"/>
        </w:rPr>
        <w:t xml:space="preserve">the </w:t>
      </w:r>
      <w:r w:rsidRPr="00507788">
        <w:rPr>
          <w:sz w:val="22"/>
        </w:rPr>
        <w:t xml:space="preserve">heat necessary to vaporize the water and raise the temperature of the vaporized water to the temperature of the exhaust gas stream.  Steam injection uses the same principle, excluding the heat required to vaporize the water.  Therefore, much more steam is required (on a mass basis) than water to achieve the same level of </w:t>
      </w:r>
      <w:r w:rsidR="00FA48A4" w:rsidRPr="004F3CA9">
        <w:rPr>
          <w:sz w:val="22"/>
          <w:szCs w:val="22"/>
        </w:rPr>
        <w:t>NO</w:t>
      </w:r>
      <w:r w:rsidR="00FA48A4" w:rsidRPr="00FA48A4">
        <w:rPr>
          <w:sz w:val="22"/>
          <w:szCs w:val="22"/>
          <w:vertAlign w:val="subscript"/>
        </w:rPr>
        <w:t>X</w:t>
      </w:r>
      <w:r w:rsidRPr="00507788">
        <w:rPr>
          <w:sz w:val="22"/>
        </w:rPr>
        <w:t xml:space="preserve"> control.  However, there is a physical limit to the amount of water or steam that may be injected before flame instability or cold spots in the combustion zone would cause adverse operating conditions for the combustion turbine.  Wet injection techniques are generally reserved for oil firing because advanced lean premix combustor designs can achieve much lower </w:t>
      </w:r>
      <w:r w:rsidR="00FA48A4" w:rsidRPr="004F3CA9">
        <w:rPr>
          <w:sz w:val="22"/>
          <w:szCs w:val="22"/>
        </w:rPr>
        <w:t>NO</w:t>
      </w:r>
      <w:r w:rsidR="00FA48A4" w:rsidRPr="00FA48A4">
        <w:rPr>
          <w:sz w:val="22"/>
          <w:szCs w:val="22"/>
          <w:vertAlign w:val="subscript"/>
        </w:rPr>
        <w:t>X</w:t>
      </w:r>
      <w:r w:rsidRPr="00507788">
        <w:rPr>
          <w:sz w:val="22"/>
        </w:rPr>
        <w:t xml:space="preserve"> emissions for gas firing without wet injection.  However, for oil firing, the advanced dual fuel combustor designs can tolerate large amounts of steam or water without causing flame instability and can typically achieve </w:t>
      </w:r>
      <w:r w:rsidR="00FA48A4" w:rsidRPr="004F3CA9">
        <w:rPr>
          <w:sz w:val="22"/>
          <w:szCs w:val="22"/>
        </w:rPr>
        <w:t>NO</w:t>
      </w:r>
      <w:r w:rsidR="00FA48A4" w:rsidRPr="00FA48A4">
        <w:rPr>
          <w:sz w:val="22"/>
          <w:szCs w:val="22"/>
          <w:vertAlign w:val="subscript"/>
        </w:rPr>
        <w:t>X</w:t>
      </w:r>
      <w:r w:rsidRPr="00507788">
        <w:rPr>
          <w:sz w:val="22"/>
        </w:rPr>
        <w:t xml:space="preserve"> emissions of less than 42 ppmvd when combined with wet injection </w:t>
      </w:r>
      <w:r w:rsidRPr="00507788">
        <w:rPr>
          <w:sz w:val="22"/>
        </w:rPr>
        <w:lastRenderedPageBreak/>
        <w:t>techniques.  Therefore, wet injection remains a viable alternative when firing oil in modern dual fuel combustors.  Wet injection results in control efficiencies approaching 75% for oil firing.</w:t>
      </w:r>
    </w:p>
    <w:p w:rsidR="008D00D2" w:rsidRDefault="008D00D2" w:rsidP="00347B7D">
      <w:pPr>
        <w:tabs>
          <w:tab w:val="left" w:pos="630"/>
        </w:tabs>
        <w:spacing w:after="120"/>
        <w:rPr>
          <w:sz w:val="22"/>
        </w:rPr>
      </w:pPr>
      <w:r w:rsidRPr="008D00D2">
        <w:rPr>
          <w:i/>
          <w:sz w:val="22"/>
        </w:rPr>
        <w:t>Dry Low NO</w:t>
      </w:r>
      <w:r w:rsidRPr="0056307C">
        <w:rPr>
          <w:i/>
          <w:sz w:val="22"/>
          <w:vertAlign w:val="subscript"/>
        </w:rPr>
        <w:t>X</w:t>
      </w:r>
      <w:r w:rsidRPr="008D00D2">
        <w:rPr>
          <w:i/>
          <w:sz w:val="22"/>
        </w:rPr>
        <w:t xml:space="preserve"> (DLN) Combustion</w:t>
      </w:r>
      <w:r w:rsidR="00FB3B44">
        <w:rPr>
          <w:i/>
          <w:sz w:val="22"/>
        </w:rPr>
        <w:t>:</w:t>
      </w:r>
      <w:r w:rsidRPr="008D00D2">
        <w:rPr>
          <w:i/>
          <w:sz w:val="22"/>
        </w:rPr>
        <w:t xml:space="preserve">  </w:t>
      </w:r>
      <w:r w:rsidRPr="008D00D2">
        <w:rPr>
          <w:sz w:val="22"/>
        </w:rPr>
        <w:t xml:space="preserve">The excess air in lean combustion cools the flame and reduces the rate of thermal </w:t>
      </w:r>
      <w:bookmarkStart w:id="23" w:name="_Hlk513617195"/>
      <w:r w:rsidRPr="008D00D2">
        <w:rPr>
          <w:sz w:val="22"/>
        </w:rPr>
        <w:t>NO</w:t>
      </w:r>
      <w:r w:rsidRPr="001308AC">
        <w:rPr>
          <w:sz w:val="22"/>
          <w:vertAlign w:val="subscript"/>
        </w:rPr>
        <w:t>X</w:t>
      </w:r>
      <w:bookmarkEnd w:id="23"/>
      <w:r w:rsidRPr="008D00D2">
        <w:rPr>
          <w:sz w:val="22"/>
        </w:rPr>
        <w:t xml:space="preserve"> formation.  Lean premixing of gaseous fuel and air prior to combustion can further reduce NO</w:t>
      </w:r>
      <w:r w:rsidRPr="008D00D2">
        <w:rPr>
          <w:sz w:val="22"/>
          <w:vertAlign w:val="subscript"/>
        </w:rPr>
        <w:t>X</w:t>
      </w:r>
      <w:r w:rsidRPr="008D00D2">
        <w:rPr>
          <w:sz w:val="22"/>
        </w:rPr>
        <w:t xml:space="preserve"> emissions.  This is accomplished by minimizing localized fuel-rich pockets (and high temperatures) within the combustion zones.  This principle is incorporated into the General Electric DLN-2.6 can-annular combustor design depicted in </w:t>
      </w:r>
      <w:r w:rsidR="00416386" w:rsidRPr="00416386">
        <w:rPr>
          <w:b/>
          <w:sz w:val="22"/>
          <w:szCs w:val="22"/>
        </w:rPr>
        <w:fldChar w:fldCharType="begin"/>
      </w:r>
      <w:r w:rsidR="00416386" w:rsidRPr="00416386">
        <w:rPr>
          <w:b/>
          <w:sz w:val="22"/>
          <w:szCs w:val="22"/>
        </w:rPr>
        <w:instrText xml:space="preserve"> REF _Ref421870476 \h  \* MERGEFORMAT </w:instrText>
      </w:r>
      <w:r w:rsidR="00416386" w:rsidRPr="00416386">
        <w:rPr>
          <w:b/>
          <w:sz w:val="22"/>
          <w:szCs w:val="22"/>
        </w:rPr>
      </w:r>
      <w:r w:rsidR="00416386" w:rsidRPr="00416386">
        <w:rPr>
          <w:b/>
          <w:sz w:val="22"/>
          <w:szCs w:val="22"/>
        </w:rPr>
        <w:fldChar w:fldCharType="separate"/>
      </w:r>
      <w:r w:rsidR="003E3FA4" w:rsidRPr="003E3FA4">
        <w:rPr>
          <w:b/>
          <w:sz w:val="22"/>
          <w:szCs w:val="22"/>
        </w:rPr>
        <w:t xml:space="preserve">Figure </w:t>
      </w:r>
      <w:r w:rsidR="003E3FA4" w:rsidRPr="003E3FA4">
        <w:rPr>
          <w:b/>
          <w:noProof/>
          <w:sz w:val="22"/>
          <w:szCs w:val="22"/>
        </w:rPr>
        <w:t>5</w:t>
      </w:r>
      <w:r w:rsidR="00416386" w:rsidRPr="00416386">
        <w:rPr>
          <w:b/>
          <w:sz w:val="22"/>
          <w:szCs w:val="22"/>
        </w:rPr>
        <w:fldChar w:fldCharType="end"/>
      </w:r>
      <w:r w:rsidR="00416386" w:rsidRPr="00416386">
        <w:rPr>
          <w:sz w:val="22"/>
          <w:szCs w:val="22"/>
        </w:rPr>
        <w:t xml:space="preserve"> </w:t>
      </w:r>
      <w:r w:rsidRPr="008D00D2">
        <w:rPr>
          <w:sz w:val="22"/>
        </w:rPr>
        <w:t>below; this is a DLN design used in other models of GE turbines, but the general principle is the same for the 7HA.02 model.</w:t>
      </w:r>
    </w:p>
    <w:p w:rsidR="00416386" w:rsidRDefault="00DF3719" w:rsidP="00416386">
      <w:pPr>
        <w:spacing w:after="120"/>
        <w:jc w:val="center"/>
      </w:pPr>
      <w:r>
        <w:rPr>
          <w:color w:val="000000"/>
          <w:sz w:val="23"/>
        </w:rPr>
        <w:object w:dxaOrig="4875" w:dyaOrig="37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25pt;height:165pt" o:ole="" o:bordertopcolor="this" o:borderleftcolor="this" o:borderbottomcolor="this" o:borderrightcolor="this">
            <v:imagedata r:id="rId22" o:title=""/>
            <w10:bordertop type="single" width="8"/>
            <w10:borderleft type="single" width="8"/>
            <w10:borderbottom type="single" width="8"/>
            <w10:borderright type="single" width="8"/>
          </v:shape>
          <o:OLEObject Type="Embed" ProgID="PowerPoint.Show.8" ShapeID="_x0000_i1025" DrawAspect="Content" ObjectID="_1589091653" r:id="rId23"/>
        </w:object>
      </w:r>
    </w:p>
    <w:p w:rsidR="00416386" w:rsidRDefault="00416386" w:rsidP="00416386">
      <w:pPr>
        <w:pStyle w:val="Caption"/>
        <w:tabs>
          <w:tab w:val="left" w:pos="5130"/>
        </w:tabs>
        <w:spacing w:before="120"/>
        <w:jc w:val="center"/>
        <w:rPr>
          <w:rFonts w:ascii="Times New Roman Bold" w:hAnsi="Times New Roman Bold"/>
          <w:caps w:val="0"/>
        </w:rPr>
      </w:pPr>
      <w:bookmarkStart w:id="24" w:name="_Ref421870476"/>
      <w:bookmarkStart w:id="25" w:name="_Ref510688971"/>
      <w:r>
        <w:rPr>
          <w:rFonts w:ascii="Times New Roman Bold" w:hAnsi="Times New Roman Bold"/>
          <w:caps w:val="0"/>
        </w:rPr>
        <w:t xml:space="preserve">Figure </w:t>
      </w:r>
      <w:r w:rsidRPr="00416386">
        <w:rPr>
          <w:rFonts w:ascii="Times New Roman Bold" w:hAnsi="Times New Roman Bold"/>
          <w:caps w:val="0"/>
        </w:rPr>
        <w:fldChar w:fldCharType="begin"/>
      </w:r>
      <w:r>
        <w:rPr>
          <w:rFonts w:ascii="Times New Roman Bold" w:hAnsi="Times New Roman Bold"/>
          <w:caps w:val="0"/>
        </w:rPr>
        <w:instrText xml:space="preserve"> SEQ Figure \* ARABIC </w:instrText>
      </w:r>
      <w:r w:rsidRPr="00416386">
        <w:rPr>
          <w:rFonts w:ascii="Times New Roman Bold" w:hAnsi="Times New Roman Bold"/>
          <w:caps w:val="0"/>
        </w:rPr>
        <w:fldChar w:fldCharType="separate"/>
      </w:r>
      <w:r w:rsidR="003E3FA4">
        <w:rPr>
          <w:rFonts w:ascii="Times New Roman Bold" w:hAnsi="Times New Roman Bold"/>
          <w:caps w:val="0"/>
          <w:noProof/>
        </w:rPr>
        <w:t>5</w:t>
      </w:r>
      <w:r w:rsidRPr="00416386">
        <w:rPr>
          <w:rFonts w:ascii="Times New Roman Bold" w:hAnsi="Times New Roman Bold"/>
          <w:caps w:val="0"/>
        </w:rPr>
        <w:fldChar w:fldCharType="end"/>
      </w:r>
      <w:bookmarkEnd w:id="24"/>
      <w:r>
        <w:rPr>
          <w:rFonts w:ascii="Times New Roman Bold" w:hAnsi="Times New Roman Bold"/>
          <w:caps w:val="0"/>
        </w:rPr>
        <w:t>.  GE DLN-2.6 Fuel Nozzle Arrangement.</w:t>
      </w:r>
      <w:bookmarkEnd w:id="25"/>
    </w:p>
    <w:p w:rsidR="00B31D0D" w:rsidRPr="00507788" w:rsidRDefault="008D00D2" w:rsidP="008D00D2">
      <w:pPr>
        <w:widowControl w:val="0"/>
        <w:tabs>
          <w:tab w:val="left" w:pos="630"/>
        </w:tabs>
        <w:spacing w:after="120"/>
        <w:rPr>
          <w:sz w:val="22"/>
        </w:rPr>
      </w:pPr>
      <w:r w:rsidRPr="008D00D2">
        <w:rPr>
          <w:sz w:val="22"/>
        </w:rPr>
        <w:t xml:space="preserve">Each combustor includes six nozzles within which gaseous fuel and air have been fully pre-mixed.  There are 16 small fuel passages around the circumference of </w:t>
      </w:r>
      <w:r w:rsidR="00810A62">
        <w:rPr>
          <w:sz w:val="22"/>
        </w:rPr>
        <w:t>the</w:t>
      </w:r>
      <w:r w:rsidRPr="008D00D2">
        <w:rPr>
          <w:sz w:val="22"/>
        </w:rPr>
        <w:t xml:space="preserve"> combustor known as </w:t>
      </w:r>
      <w:r w:rsidR="0057588C">
        <w:rPr>
          <w:sz w:val="22"/>
        </w:rPr>
        <w:t xml:space="preserve">the </w:t>
      </w:r>
      <w:r w:rsidRPr="008D00D2">
        <w:rPr>
          <w:sz w:val="22"/>
        </w:rPr>
        <w:t xml:space="preserve">quaternary fuel pegs.  The six nozzles are sequentially ignited as load increases in a manner that maintains lean pre-mixed combustion and flame stability. </w:t>
      </w:r>
    </w:p>
    <w:p w:rsidR="00347B35" w:rsidRDefault="00B31D0D" w:rsidP="00B31D0D">
      <w:pPr>
        <w:widowControl w:val="0"/>
        <w:tabs>
          <w:tab w:val="left" w:pos="630"/>
        </w:tabs>
        <w:spacing w:after="120"/>
        <w:rPr>
          <w:sz w:val="22"/>
        </w:rPr>
      </w:pPr>
      <w:r w:rsidRPr="00507788">
        <w:rPr>
          <w:i/>
          <w:sz w:val="22"/>
        </w:rPr>
        <w:t>Selective Catalytic Reduction (SCR)</w:t>
      </w:r>
      <w:r w:rsidR="00FB3B44">
        <w:rPr>
          <w:i/>
          <w:sz w:val="22"/>
        </w:rPr>
        <w:t>:</w:t>
      </w:r>
      <w:r w:rsidRPr="00507788">
        <w:rPr>
          <w:sz w:val="22"/>
        </w:rPr>
        <w:t xml:space="preserve">  This is an add-on control technology in which ammonia is injected into the exhaust gas stream in the presence of a catalyst bed to combine with </w:t>
      </w:r>
      <w:r w:rsidR="00347B35" w:rsidRPr="008D00D2">
        <w:rPr>
          <w:sz w:val="22"/>
        </w:rPr>
        <w:t>NO</w:t>
      </w:r>
      <w:r w:rsidR="00347B35" w:rsidRPr="001308AC">
        <w:rPr>
          <w:sz w:val="22"/>
          <w:vertAlign w:val="subscript"/>
        </w:rPr>
        <w:t>X</w:t>
      </w:r>
      <w:r w:rsidRPr="00507788">
        <w:rPr>
          <w:sz w:val="22"/>
        </w:rPr>
        <w:t xml:space="preserve"> in a reduction reaction forming nitrogen and water.  </w:t>
      </w:r>
      <w:r w:rsidR="00347B35" w:rsidRPr="00347B35">
        <w:rPr>
          <w:rFonts w:ascii="Times New Roman Bold" w:hAnsi="Times New Roman Bold"/>
          <w:b/>
          <w:sz w:val="22"/>
        </w:rPr>
        <w:fldChar w:fldCharType="begin"/>
      </w:r>
      <w:r w:rsidR="00347B35" w:rsidRPr="00347B35">
        <w:rPr>
          <w:rFonts w:ascii="Times New Roman Bold" w:hAnsi="Times New Roman Bold"/>
          <w:b/>
          <w:sz w:val="22"/>
        </w:rPr>
        <w:instrText xml:space="preserve"> REF _Ref513617074 \h </w:instrText>
      </w:r>
      <w:r w:rsidR="00347B35">
        <w:rPr>
          <w:rFonts w:ascii="Times New Roman Bold" w:hAnsi="Times New Roman Bold"/>
          <w:b/>
          <w:sz w:val="22"/>
        </w:rPr>
        <w:instrText xml:space="preserve"> \* MERGEFORMAT </w:instrText>
      </w:r>
      <w:r w:rsidR="00347B35" w:rsidRPr="00347B35">
        <w:rPr>
          <w:rFonts w:ascii="Times New Roman Bold" w:hAnsi="Times New Roman Bold"/>
          <w:b/>
          <w:sz w:val="22"/>
        </w:rPr>
      </w:r>
      <w:r w:rsidR="00347B35" w:rsidRPr="00347B35">
        <w:rPr>
          <w:rFonts w:ascii="Times New Roman Bold" w:hAnsi="Times New Roman Bold"/>
          <w:b/>
          <w:sz w:val="22"/>
        </w:rPr>
        <w:fldChar w:fldCharType="separate"/>
      </w:r>
      <w:r w:rsidR="003E3FA4" w:rsidRPr="003E3FA4">
        <w:rPr>
          <w:rFonts w:ascii="Times New Roman Bold" w:hAnsi="Times New Roman Bold"/>
          <w:b/>
          <w:sz w:val="22"/>
        </w:rPr>
        <w:t xml:space="preserve">Figure </w:t>
      </w:r>
      <w:r w:rsidR="003E3FA4" w:rsidRPr="003E3FA4">
        <w:rPr>
          <w:rFonts w:ascii="Times New Roman Bold" w:hAnsi="Times New Roman Bold"/>
          <w:b/>
          <w:noProof/>
          <w:sz w:val="22"/>
        </w:rPr>
        <w:t>6</w:t>
      </w:r>
      <w:r w:rsidR="00347B35" w:rsidRPr="00347B35">
        <w:rPr>
          <w:rFonts w:ascii="Times New Roman Bold" w:hAnsi="Times New Roman Bold"/>
          <w:b/>
          <w:sz w:val="22"/>
        </w:rPr>
        <w:fldChar w:fldCharType="end"/>
      </w:r>
      <w:r w:rsidRPr="00507788">
        <w:rPr>
          <w:sz w:val="22"/>
        </w:rPr>
        <w:t xml:space="preserve"> below shows the general arrangement of the ammonia injection grid and SCR catalyst with respect to the heat recovery steam generator for a combined cycle unit.  </w:t>
      </w:r>
    </w:p>
    <w:p w:rsidR="00347B35" w:rsidRDefault="00347B35" w:rsidP="00347B35">
      <w:pPr>
        <w:widowControl w:val="0"/>
        <w:tabs>
          <w:tab w:val="left" w:pos="630"/>
        </w:tabs>
        <w:spacing w:after="120"/>
        <w:jc w:val="center"/>
        <w:rPr>
          <w:sz w:val="22"/>
        </w:rPr>
      </w:pPr>
      <w:r>
        <w:rPr>
          <w:noProof/>
          <w:color w:val="000000"/>
          <w:sz w:val="24"/>
          <w:szCs w:val="24"/>
        </w:rPr>
        <w:drawing>
          <wp:inline distT="0" distB="0" distL="0" distR="0" wp14:anchorId="353F2F92" wp14:editId="5410B8AC">
            <wp:extent cx="3445212" cy="2266950"/>
            <wp:effectExtent l="19050" t="19050" r="22225" b="19050"/>
            <wp:docPr id="51" name="Picture 16" descr="HRSGCom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RSGComps"/>
                    <pic:cNvPicPr>
                      <a:picLocks noChangeAspect="1" noChangeArrowheads="1"/>
                    </pic:cNvPicPr>
                  </pic:nvPicPr>
                  <pic:blipFill>
                    <a:blip r:embed="rId24" cstate="print"/>
                    <a:srcRect/>
                    <a:stretch>
                      <a:fillRect/>
                    </a:stretch>
                  </pic:blipFill>
                  <pic:spPr bwMode="auto">
                    <a:xfrm>
                      <a:off x="0" y="0"/>
                      <a:ext cx="3468765" cy="2282448"/>
                    </a:xfrm>
                    <a:prstGeom prst="rect">
                      <a:avLst/>
                    </a:prstGeom>
                    <a:noFill/>
                    <a:ln w="12700" cmpd="sng">
                      <a:solidFill>
                        <a:srgbClr val="000000"/>
                      </a:solidFill>
                      <a:miter lim="800000"/>
                      <a:headEnd/>
                      <a:tailEnd/>
                    </a:ln>
                    <a:effectLst/>
                  </pic:spPr>
                </pic:pic>
              </a:graphicData>
            </a:graphic>
          </wp:inline>
        </w:drawing>
      </w:r>
    </w:p>
    <w:p w:rsidR="00347B35" w:rsidRDefault="00347B35" w:rsidP="00347B35">
      <w:pPr>
        <w:pStyle w:val="Caption"/>
        <w:spacing w:before="0"/>
        <w:jc w:val="center"/>
        <w:rPr>
          <w:b w:val="0"/>
          <w:color w:val="000000"/>
          <w:szCs w:val="22"/>
        </w:rPr>
      </w:pPr>
      <w:bookmarkStart w:id="26" w:name="_Ref513617074"/>
      <w:r w:rsidRPr="00347B35">
        <w:rPr>
          <w:rFonts w:ascii="Times New Roman Bold" w:hAnsi="Times New Roman Bold"/>
          <w:caps w:val="0"/>
        </w:rPr>
        <w:t xml:space="preserve">Figure </w:t>
      </w:r>
      <w:r w:rsidRPr="00347B35">
        <w:rPr>
          <w:rFonts w:ascii="Times New Roman Bold" w:hAnsi="Times New Roman Bold"/>
          <w:caps w:val="0"/>
        </w:rPr>
        <w:fldChar w:fldCharType="begin"/>
      </w:r>
      <w:r w:rsidRPr="00347B35">
        <w:rPr>
          <w:rFonts w:ascii="Times New Roman Bold" w:hAnsi="Times New Roman Bold"/>
          <w:caps w:val="0"/>
        </w:rPr>
        <w:instrText xml:space="preserve"> SEQ Figure \* ARABIC </w:instrText>
      </w:r>
      <w:r w:rsidRPr="00347B35">
        <w:rPr>
          <w:rFonts w:ascii="Times New Roman Bold" w:hAnsi="Times New Roman Bold"/>
          <w:caps w:val="0"/>
        </w:rPr>
        <w:fldChar w:fldCharType="separate"/>
      </w:r>
      <w:r w:rsidR="003E3FA4">
        <w:rPr>
          <w:rFonts w:ascii="Times New Roman Bold" w:hAnsi="Times New Roman Bold"/>
          <w:caps w:val="0"/>
          <w:noProof/>
        </w:rPr>
        <w:t>6</w:t>
      </w:r>
      <w:r w:rsidRPr="00347B35">
        <w:rPr>
          <w:rFonts w:ascii="Times New Roman Bold" w:hAnsi="Times New Roman Bold"/>
          <w:caps w:val="0"/>
        </w:rPr>
        <w:fldChar w:fldCharType="end"/>
      </w:r>
      <w:bookmarkEnd w:id="26"/>
      <w:r w:rsidRPr="00347B35">
        <w:rPr>
          <w:rFonts w:ascii="Times New Roman Bold" w:hAnsi="Times New Roman Bold"/>
          <w:caps w:val="0"/>
        </w:rPr>
        <w:t>.</w:t>
      </w:r>
      <w:r>
        <w:t xml:space="preserve">  </w:t>
      </w:r>
      <w:r w:rsidRPr="00FE59A7">
        <w:rPr>
          <w:caps w:val="0"/>
          <w:color w:val="000000"/>
          <w:szCs w:val="22"/>
        </w:rPr>
        <w:t>Key HRSG Components (10 is SCR)</w:t>
      </w:r>
      <w:r>
        <w:rPr>
          <w:caps w:val="0"/>
          <w:color w:val="000000"/>
          <w:szCs w:val="22"/>
        </w:rPr>
        <w:t>.</w:t>
      </w:r>
    </w:p>
    <w:p w:rsidR="00B31D0D" w:rsidRPr="00507788" w:rsidRDefault="00B31D0D" w:rsidP="00B31D0D">
      <w:pPr>
        <w:widowControl w:val="0"/>
        <w:tabs>
          <w:tab w:val="left" w:pos="630"/>
        </w:tabs>
        <w:spacing w:after="120"/>
        <w:rPr>
          <w:sz w:val="22"/>
        </w:rPr>
      </w:pPr>
      <w:r w:rsidRPr="00507788">
        <w:rPr>
          <w:sz w:val="22"/>
        </w:rPr>
        <w:t xml:space="preserve">The exhaust gas temperature </w:t>
      </w:r>
      <w:r w:rsidR="004A745B">
        <w:rPr>
          <w:sz w:val="22"/>
        </w:rPr>
        <w:t>must be maintained between 450°</w:t>
      </w:r>
      <w:r w:rsidRPr="00507788">
        <w:rPr>
          <w:sz w:val="22"/>
        </w:rPr>
        <w:t>F</w:t>
      </w:r>
      <w:r w:rsidR="004A745B">
        <w:rPr>
          <w:sz w:val="22"/>
        </w:rPr>
        <w:t xml:space="preserve"> and 850°</w:t>
      </w:r>
      <w:r w:rsidRPr="00507788">
        <w:rPr>
          <w:sz w:val="22"/>
        </w:rPr>
        <w:t>F for this reaction to proceed satisfactorily.  For combined cycle gas turbines, the temperature is within the proper range and conventional catalysts such as vanadium or titanium oxide are acceptable.  However, the exhaust from simple cycl</w:t>
      </w:r>
      <w:r w:rsidR="004A745B">
        <w:rPr>
          <w:sz w:val="22"/>
        </w:rPr>
        <w:t>e gas turbines can exceed 1000°</w:t>
      </w:r>
      <w:r w:rsidRPr="00507788">
        <w:rPr>
          <w:sz w:val="22"/>
        </w:rPr>
        <w:t>F and require more expensive high temperature zeolite</w:t>
      </w:r>
      <w:r w:rsidRPr="00507788">
        <w:rPr>
          <w:sz w:val="24"/>
        </w:rPr>
        <w:t xml:space="preserve"> </w:t>
      </w:r>
      <w:r w:rsidRPr="00507788">
        <w:rPr>
          <w:sz w:val="22"/>
        </w:rPr>
        <w:t xml:space="preserve">catalysts and possibly additional gas cooling to protect the catalyst.  Ammonia that escapes past the catalyst without reacting with </w:t>
      </w:r>
      <w:r w:rsidR="00966091" w:rsidRPr="004F3CA9">
        <w:rPr>
          <w:sz w:val="22"/>
          <w:szCs w:val="22"/>
        </w:rPr>
        <w:t>NO</w:t>
      </w:r>
      <w:r w:rsidR="00966091" w:rsidRPr="00FA48A4">
        <w:rPr>
          <w:sz w:val="22"/>
          <w:szCs w:val="22"/>
          <w:vertAlign w:val="subscript"/>
        </w:rPr>
        <w:t>X</w:t>
      </w:r>
      <w:r w:rsidRPr="00507788">
        <w:rPr>
          <w:sz w:val="22"/>
        </w:rPr>
        <w:t xml:space="preserve"> is called “ammonia slip”.  If the fuel contains significant amounts of sulfur, high levels of ammonia slip can lead to the formation of bisulfates and other particulate matter.  Ammonia slip will gradually increase over the life of the system due to degradation of the catalyst.  The catalyst is typically replaced every 5 to 7 years although vendors typically guarantee catalysts for about three years.  SCR is a commercially available, demonstrated control technology currently employed on numerous combined cycle combustion turbine projects permitted with very low </w:t>
      </w:r>
      <w:r w:rsidR="00347B35" w:rsidRPr="008D00D2">
        <w:rPr>
          <w:sz w:val="22"/>
        </w:rPr>
        <w:t>NO</w:t>
      </w:r>
      <w:r w:rsidR="00347B35" w:rsidRPr="001308AC">
        <w:rPr>
          <w:sz w:val="22"/>
          <w:vertAlign w:val="subscript"/>
        </w:rPr>
        <w:t>X</w:t>
      </w:r>
      <w:r w:rsidRPr="00507788">
        <w:rPr>
          <w:sz w:val="22"/>
        </w:rPr>
        <w:t xml:space="preserve"> emissions (&lt; 2.5/10 ppmvd for gas/oil firing).  There are a few “hot SCR” systems employed on smaller simple cycle units with slightly higher </w:t>
      </w:r>
      <w:r w:rsidR="00347B35" w:rsidRPr="008D00D2">
        <w:rPr>
          <w:sz w:val="22"/>
        </w:rPr>
        <w:t>NO</w:t>
      </w:r>
      <w:r w:rsidR="00347B35" w:rsidRPr="001308AC">
        <w:rPr>
          <w:sz w:val="22"/>
          <w:vertAlign w:val="subscript"/>
        </w:rPr>
        <w:t>X</w:t>
      </w:r>
      <w:r w:rsidRPr="00507788">
        <w:rPr>
          <w:sz w:val="22"/>
        </w:rPr>
        <w:t xml:space="preserve"> emissions.  SCR results in control efficiencies of approaching 98%.</w:t>
      </w:r>
    </w:p>
    <w:p w:rsidR="00B31D0D" w:rsidRPr="00507788" w:rsidRDefault="0097267D" w:rsidP="00B31D0D">
      <w:pPr>
        <w:tabs>
          <w:tab w:val="left" w:pos="630"/>
        </w:tabs>
        <w:spacing w:after="120"/>
        <w:rPr>
          <w:sz w:val="22"/>
        </w:rPr>
      </w:pPr>
      <w:r w:rsidRPr="00826C9C">
        <w:rPr>
          <w:i/>
          <w:sz w:val="22"/>
          <w:szCs w:val="22"/>
        </w:rPr>
        <w:t>EMx (Formerly SCONO</w:t>
      </w:r>
      <w:r w:rsidRPr="00826C9C">
        <w:rPr>
          <w:i/>
          <w:sz w:val="22"/>
          <w:szCs w:val="22"/>
          <w:vertAlign w:val="subscript"/>
        </w:rPr>
        <w:t>X</w:t>
      </w:r>
      <w:r w:rsidRPr="0097267D">
        <w:rPr>
          <w:i/>
          <w:sz w:val="22"/>
          <w:szCs w:val="22"/>
        </w:rPr>
        <w:t>)</w:t>
      </w:r>
      <w:r w:rsidR="00FB3B44">
        <w:rPr>
          <w:i/>
          <w:sz w:val="22"/>
          <w:szCs w:val="22"/>
        </w:rPr>
        <w:t>:</w:t>
      </w:r>
      <w:r w:rsidR="00B31D0D" w:rsidRPr="0097267D">
        <w:rPr>
          <w:sz w:val="22"/>
        </w:rPr>
        <w:t xml:space="preserve">  This</w:t>
      </w:r>
      <w:r w:rsidR="00B31D0D" w:rsidRPr="00507788">
        <w:rPr>
          <w:sz w:val="22"/>
        </w:rPr>
        <w:t xml:space="preserve"> technology is a </w:t>
      </w:r>
      <w:r w:rsidR="00F1529E" w:rsidRPr="004F3CA9">
        <w:rPr>
          <w:sz w:val="22"/>
          <w:szCs w:val="22"/>
        </w:rPr>
        <w:t>NO</w:t>
      </w:r>
      <w:r w:rsidR="00F1529E" w:rsidRPr="00FA48A4">
        <w:rPr>
          <w:sz w:val="22"/>
          <w:szCs w:val="22"/>
          <w:vertAlign w:val="subscript"/>
        </w:rPr>
        <w:t>X</w:t>
      </w:r>
      <w:r w:rsidR="00B31D0D" w:rsidRPr="00507788">
        <w:rPr>
          <w:sz w:val="22"/>
        </w:rPr>
        <w:t xml:space="preserve"> and CO control system developed by Goal Line Environmental Technologies and is distributed through Alstom Power for large gas turbine projects.  Specialized potassium carbonate catalyst beds reduce </w:t>
      </w:r>
      <w:r w:rsidR="00F1529E" w:rsidRPr="004F3CA9">
        <w:rPr>
          <w:sz w:val="22"/>
          <w:szCs w:val="22"/>
        </w:rPr>
        <w:t>NO</w:t>
      </w:r>
      <w:r w:rsidR="00F1529E" w:rsidRPr="00FA48A4">
        <w:rPr>
          <w:sz w:val="22"/>
          <w:szCs w:val="22"/>
          <w:vertAlign w:val="subscript"/>
        </w:rPr>
        <w:t>X</w:t>
      </w:r>
      <w:r w:rsidR="00B31D0D" w:rsidRPr="00507788">
        <w:rPr>
          <w:sz w:val="22"/>
        </w:rPr>
        <w:t xml:space="preserve"> emissions using an oxidation-absorption-regeneration cycle.  The required operating temperature range is between 300°F and 700°F, which is within the typical range of exhaust gas from heat recovery steam generator in a combined cycle gas turbine.  SCONOx</w:t>
      </w:r>
      <w:r w:rsidR="00B31D0D" w:rsidRPr="00507788">
        <w:rPr>
          <w:sz w:val="22"/>
          <w:vertAlign w:val="superscript"/>
        </w:rPr>
        <w:t>TM</w:t>
      </w:r>
      <w:r w:rsidR="00B31D0D" w:rsidRPr="00507788">
        <w:rPr>
          <w:sz w:val="22"/>
        </w:rPr>
        <w:t xml:space="preserve"> technology (at 2.0 ppmvd) has been used to define the Lowest Achievable Emission Rate (LAER) in non-attainment areas where cost is not a factor in establishing an emissions standard.  SCONOx</w:t>
      </w:r>
      <w:r w:rsidR="00B31D0D" w:rsidRPr="00507788">
        <w:rPr>
          <w:sz w:val="22"/>
          <w:vertAlign w:val="superscript"/>
        </w:rPr>
        <w:t>TM</w:t>
      </w:r>
      <w:r w:rsidR="00B31D0D" w:rsidRPr="00507788">
        <w:rPr>
          <w:sz w:val="22"/>
        </w:rPr>
        <w:t xml:space="preserve"> systems also oxidize emissions of CO and VOC for additional emission reductions.  SCONOx</w:t>
      </w:r>
      <w:r w:rsidR="00B31D0D" w:rsidRPr="00507788">
        <w:rPr>
          <w:sz w:val="22"/>
          <w:vertAlign w:val="superscript"/>
        </w:rPr>
        <w:t>TM</w:t>
      </w:r>
      <w:r w:rsidR="00B31D0D" w:rsidRPr="00507788">
        <w:rPr>
          <w:sz w:val="22"/>
        </w:rPr>
        <w:t xml:space="preserve"> can also achieve control efficiencies approaching 98% without the additional ammonia emissions associated with SCR.</w:t>
      </w:r>
    </w:p>
    <w:p w:rsidR="00B31D0D" w:rsidRDefault="00B31D0D" w:rsidP="00B31D0D">
      <w:pPr>
        <w:tabs>
          <w:tab w:val="left" w:pos="630"/>
        </w:tabs>
        <w:spacing w:after="120"/>
        <w:rPr>
          <w:sz w:val="22"/>
        </w:rPr>
      </w:pPr>
      <w:r w:rsidRPr="00507788">
        <w:rPr>
          <w:i/>
          <w:sz w:val="22"/>
        </w:rPr>
        <w:t>XONON</w:t>
      </w:r>
      <w:r w:rsidRPr="00507788">
        <w:rPr>
          <w:i/>
          <w:sz w:val="22"/>
          <w:vertAlign w:val="superscript"/>
        </w:rPr>
        <w:t>TM</w:t>
      </w:r>
      <w:r w:rsidR="00FB3B44">
        <w:rPr>
          <w:sz w:val="22"/>
        </w:rPr>
        <w:t>:</w:t>
      </w:r>
      <w:r w:rsidRPr="00507788">
        <w:rPr>
          <w:sz w:val="22"/>
        </w:rPr>
        <w:t xml:space="preserve">  This is an emerging technology that partially burns fuel in a low-temperature pre-combustor and completes combustion in a catalytic combustor.  The result is partial combustion with a lower temperature (and less NOx formation) followed by flameless catalytic combustion to further inhibit </w:t>
      </w:r>
      <w:r w:rsidR="00F1529E" w:rsidRPr="004F3CA9">
        <w:rPr>
          <w:sz w:val="22"/>
          <w:szCs w:val="22"/>
        </w:rPr>
        <w:t>NO</w:t>
      </w:r>
      <w:r w:rsidR="00F1529E" w:rsidRPr="00FA48A4">
        <w:rPr>
          <w:sz w:val="22"/>
          <w:szCs w:val="22"/>
          <w:vertAlign w:val="subscript"/>
        </w:rPr>
        <w:t>X</w:t>
      </w:r>
      <w:r w:rsidRPr="00507788">
        <w:rPr>
          <w:sz w:val="22"/>
        </w:rPr>
        <w:t xml:space="preserve"> formation.  This technology has been demonstrated, but the design will be unique for each manufacturer and model of gas turbine.  It is anticipated that control efficiencies may approach 98%.</w:t>
      </w:r>
    </w:p>
    <w:p w:rsidR="00B31D0D" w:rsidRDefault="00B31D0D" w:rsidP="000958F2">
      <w:pPr>
        <w:widowControl w:val="0"/>
        <w:spacing w:after="120"/>
        <w:rPr>
          <w:sz w:val="22"/>
        </w:rPr>
      </w:pPr>
      <w:r w:rsidRPr="00507788">
        <w:rPr>
          <w:i/>
          <w:iCs/>
          <w:sz w:val="22"/>
        </w:rPr>
        <w:t>Selective Non-Catalytic Reduction (SNCR)</w:t>
      </w:r>
      <w:r w:rsidR="00FB3B44">
        <w:rPr>
          <w:sz w:val="22"/>
        </w:rPr>
        <w:t>:</w:t>
      </w:r>
      <w:r w:rsidRPr="00507788">
        <w:rPr>
          <w:sz w:val="22"/>
        </w:rPr>
        <w:t xml:space="preserve">  This technology works on the same principle as SCR, but in the absence of a catalyst.  Ammonia (or urea) is injected directly into a hot gas stream (1400° F to 2000° F), which promotes the conversion of </w:t>
      </w:r>
      <w:r w:rsidR="00F1529E" w:rsidRPr="004F3CA9">
        <w:rPr>
          <w:sz w:val="22"/>
          <w:szCs w:val="22"/>
        </w:rPr>
        <w:t>NO</w:t>
      </w:r>
      <w:r w:rsidR="00F1529E" w:rsidRPr="00FA48A4">
        <w:rPr>
          <w:sz w:val="22"/>
          <w:szCs w:val="22"/>
          <w:vertAlign w:val="subscript"/>
        </w:rPr>
        <w:t>X</w:t>
      </w:r>
      <w:r w:rsidRPr="00507788">
        <w:rPr>
          <w:sz w:val="22"/>
        </w:rPr>
        <w:t xml:space="preserve"> to nitrogen and water given sufficient residence time.  No applications have been identified wherein SNCR was applied to a gas turbine because the exhaust temperature of 1100° F is too low to support the </w:t>
      </w:r>
      <w:r w:rsidR="00F1529E" w:rsidRPr="004F3CA9">
        <w:rPr>
          <w:sz w:val="22"/>
          <w:szCs w:val="22"/>
        </w:rPr>
        <w:t>NO</w:t>
      </w:r>
      <w:r w:rsidR="00F1529E" w:rsidRPr="00FA48A4">
        <w:rPr>
          <w:sz w:val="22"/>
          <w:szCs w:val="22"/>
          <w:vertAlign w:val="subscript"/>
        </w:rPr>
        <w:t>X</w:t>
      </w:r>
      <w:r w:rsidRPr="00507788">
        <w:rPr>
          <w:sz w:val="22"/>
        </w:rPr>
        <w:t xml:space="preserve"> conversion mechanism.  However, with a large duct burner in the heat recovery steam generator, it is possible to reach the exhaust gas temperatures that would make SNCR feasible.</w:t>
      </w:r>
    </w:p>
    <w:p w:rsidR="009E46B3" w:rsidRDefault="009E46B3" w:rsidP="009E46B3">
      <w:pPr>
        <w:pStyle w:val="ListParagraph"/>
        <w:widowControl w:val="0"/>
        <w:spacing w:after="120"/>
        <w:ind w:left="0"/>
        <w:rPr>
          <w:sz w:val="22"/>
          <w:szCs w:val="22"/>
        </w:rPr>
      </w:pPr>
      <w:r>
        <w:rPr>
          <w:i/>
          <w:sz w:val="22"/>
          <w:szCs w:val="22"/>
        </w:rPr>
        <w:t>Thermal DeNO</w:t>
      </w:r>
      <w:r w:rsidR="00FB3B44" w:rsidRPr="00FB3B44">
        <w:rPr>
          <w:i/>
          <w:sz w:val="22"/>
          <w:szCs w:val="22"/>
          <w:vertAlign w:val="subscript"/>
        </w:rPr>
        <w:t>X</w:t>
      </w:r>
      <w:r w:rsidR="00FB3B44">
        <w:rPr>
          <w:i/>
          <w:sz w:val="22"/>
          <w:szCs w:val="22"/>
        </w:rPr>
        <w:t>:</w:t>
      </w:r>
      <w:r>
        <w:rPr>
          <w:i/>
          <w:sz w:val="22"/>
          <w:szCs w:val="22"/>
        </w:rPr>
        <w:t xml:space="preserve">  </w:t>
      </w:r>
      <w:r>
        <w:rPr>
          <w:sz w:val="22"/>
          <w:szCs w:val="22"/>
        </w:rPr>
        <w:t>Thermal DeNO</w:t>
      </w:r>
      <w:r w:rsidR="00FB3B44" w:rsidRPr="00FB3B44">
        <w:rPr>
          <w:sz w:val="22"/>
          <w:szCs w:val="22"/>
          <w:vertAlign w:val="subscript"/>
        </w:rPr>
        <w:t>X</w:t>
      </w:r>
      <w:r>
        <w:rPr>
          <w:sz w:val="22"/>
          <w:szCs w:val="22"/>
        </w:rPr>
        <w:t xml:space="preserve"> is a patented version of SNCR, using ammonia as the reducing agent.  Thermal DeNO</w:t>
      </w:r>
      <w:r w:rsidR="00FB3B44" w:rsidRPr="00FB3B44">
        <w:rPr>
          <w:sz w:val="22"/>
          <w:szCs w:val="22"/>
          <w:vertAlign w:val="subscript"/>
        </w:rPr>
        <w:t>X</w:t>
      </w:r>
      <w:r>
        <w:rPr>
          <w:sz w:val="22"/>
          <w:szCs w:val="22"/>
        </w:rPr>
        <w:t xml:space="preserve"> has been employed on boilers, furnaces, and incinerators, but not on combustion turbines.</w:t>
      </w:r>
    </w:p>
    <w:p w:rsidR="009E46B3" w:rsidRDefault="009E46B3" w:rsidP="009E46B3">
      <w:pPr>
        <w:widowControl w:val="0"/>
        <w:spacing w:after="120"/>
        <w:rPr>
          <w:sz w:val="22"/>
          <w:szCs w:val="22"/>
        </w:rPr>
      </w:pPr>
      <w:r>
        <w:rPr>
          <w:i/>
          <w:sz w:val="22"/>
          <w:szCs w:val="22"/>
        </w:rPr>
        <w:t>NO</w:t>
      </w:r>
      <w:r w:rsidR="00FB3B44" w:rsidRPr="00FB3B44">
        <w:rPr>
          <w:i/>
          <w:sz w:val="22"/>
          <w:szCs w:val="22"/>
          <w:vertAlign w:val="subscript"/>
        </w:rPr>
        <w:t>X</w:t>
      </w:r>
      <w:r>
        <w:rPr>
          <w:i/>
          <w:sz w:val="22"/>
          <w:szCs w:val="22"/>
        </w:rPr>
        <w:t>OUT</w:t>
      </w:r>
      <w:r w:rsidR="00FB3B44">
        <w:rPr>
          <w:i/>
          <w:sz w:val="22"/>
          <w:szCs w:val="22"/>
        </w:rPr>
        <w:t>:</w:t>
      </w:r>
      <w:r>
        <w:rPr>
          <w:sz w:val="22"/>
          <w:szCs w:val="22"/>
        </w:rPr>
        <w:t xml:space="preserve">  Similar to SNCR, in the NO</w:t>
      </w:r>
      <w:r w:rsidR="00FB3B44" w:rsidRPr="00FB3B44">
        <w:rPr>
          <w:sz w:val="22"/>
          <w:szCs w:val="22"/>
          <w:vertAlign w:val="subscript"/>
        </w:rPr>
        <w:t>X</w:t>
      </w:r>
      <w:r>
        <w:rPr>
          <w:sz w:val="22"/>
          <w:szCs w:val="22"/>
        </w:rPr>
        <w:t>OUT process, aqueous urea is injected into the flue gas stream, at high temperatures.  The reaction, in the presence of O</w:t>
      </w:r>
      <w:r>
        <w:rPr>
          <w:sz w:val="22"/>
          <w:szCs w:val="22"/>
          <w:vertAlign w:val="subscript"/>
        </w:rPr>
        <w:t>2</w:t>
      </w:r>
      <w:r>
        <w:rPr>
          <w:sz w:val="22"/>
          <w:szCs w:val="22"/>
        </w:rPr>
        <w:t>, converts urea, NO and O</w:t>
      </w:r>
      <w:r>
        <w:rPr>
          <w:sz w:val="22"/>
          <w:szCs w:val="22"/>
          <w:vertAlign w:val="subscript"/>
        </w:rPr>
        <w:t>2</w:t>
      </w:r>
      <w:r>
        <w:rPr>
          <w:sz w:val="22"/>
          <w:szCs w:val="22"/>
        </w:rPr>
        <w:t xml:space="preserve"> to N</w:t>
      </w:r>
      <w:r>
        <w:rPr>
          <w:sz w:val="22"/>
          <w:szCs w:val="22"/>
          <w:vertAlign w:val="subscript"/>
        </w:rPr>
        <w:t>2</w:t>
      </w:r>
      <w:r>
        <w:rPr>
          <w:sz w:val="22"/>
          <w:szCs w:val="22"/>
        </w:rPr>
        <w:t>, CO</w:t>
      </w:r>
      <w:r>
        <w:rPr>
          <w:sz w:val="22"/>
          <w:szCs w:val="22"/>
          <w:vertAlign w:val="subscript"/>
        </w:rPr>
        <w:t>2</w:t>
      </w:r>
      <w:r>
        <w:rPr>
          <w:sz w:val="22"/>
          <w:szCs w:val="22"/>
        </w:rPr>
        <w:t xml:space="preserve"> and water.  The commercial application of NO</w:t>
      </w:r>
      <w:r w:rsidR="00FB3B44" w:rsidRPr="00FB3B44">
        <w:rPr>
          <w:sz w:val="22"/>
          <w:szCs w:val="22"/>
          <w:vertAlign w:val="subscript"/>
        </w:rPr>
        <w:t>X</w:t>
      </w:r>
      <w:r>
        <w:rPr>
          <w:sz w:val="22"/>
          <w:szCs w:val="22"/>
        </w:rPr>
        <w:t>OUT has been limited to boilers and municipal waste combustors, and it has not been demonstrated on combined cycle combustion turbines.</w:t>
      </w:r>
    </w:p>
    <w:p w:rsidR="00DD52DD" w:rsidRDefault="00DD52DD" w:rsidP="00DD52DD">
      <w:pPr>
        <w:pStyle w:val="ListParagraph"/>
        <w:widowControl w:val="0"/>
        <w:spacing w:after="120"/>
        <w:ind w:left="0"/>
        <w:rPr>
          <w:sz w:val="22"/>
          <w:szCs w:val="22"/>
        </w:rPr>
      </w:pPr>
      <w:r>
        <w:rPr>
          <w:i/>
          <w:sz w:val="22"/>
          <w:szCs w:val="22"/>
        </w:rPr>
        <w:t>Non-Selective Catalytic Reduction (NSCR):</w:t>
      </w:r>
      <w:r>
        <w:rPr>
          <w:sz w:val="22"/>
          <w:szCs w:val="22"/>
        </w:rPr>
        <w:t xml:space="preserve">  NSCR employs a three-way catalyst to reduce emissions of NO</w:t>
      </w:r>
      <w:r>
        <w:rPr>
          <w:sz w:val="22"/>
          <w:szCs w:val="22"/>
          <w:vertAlign w:val="subscript"/>
        </w:rPr>
        <w:t>X</w:t>
      </w:r>
      <w:r>
        <w:rPr>
          <w:sz w:val="22"/>
          <w:szCs w:val="22"/>
        </w:rPr>
        <w:t xml:space="preserve"> and CO.  This technology is often employed on spark-ignition internal combustion engines, but is not commonly used on natural gas combustion </w:t>
      </w:r>
      <w:r w:rsidR="00320911">
        <w:rPr>
          <w:sz w:val="22"/>
          <w:szCs w:val="22"/>
        </w:rPr>
        <w:t>cycle</w:t>
      </w:r>
      <w:r>
        <w:rPr>
          <w:sz w:val="22"/>
          <w:szCs w:val="22"/>
        </w:rPr>
        <w:t xml:space="preserve"> units.</w:t>
      </w:r>
    </w:p>
    <w:p w:rsidR="00B31D0D" w:rsidRPr="006C19BE" w:rsidRDefault="00B31D0D" w:rsidP="00B31D0D">
      <w:pPr>
        <w:widowControl w:val="0"/>
        <w:spacing w:after="120"/>
        <w:rPr>
          <w:sz w:val="22"/>
          <w:szCs w:val="22"/>
          <w:u w:val="single"/>
        </w:rPr>
      </w:pPr>
      <w:r w:rsidRPr="006C19BE">
        <w:rPr>
          <w:sz w:val="22"/>
          <w:szCs w:val="22"/>
          <w:u w:val="single"/>
        </w:rPr>
        <w:t>Discussion of Technically Infeasible Control Options and Ranking of Remaining Options</w:t>
      </w:r>
    </w:p>
    <w:p w:rsidR="00016159" w:rsidRDefault="00016159" w:rsidP="0067490E">
      <w:pPr>
        <w:widowControl w:val="0"/>
        <w:spacing w:after="120"/>
        <w:rPr>
          <w:sz w:val="22"/>
          <w:szCs w:val="22"/>
        </w:rPr>
      </w:pPr>
      <w:r>
        <w:rPr>
          <w:sz w:val="22"/>
          <w:szCs w:val="22"/>
        </w:rPr>
        <w:t>As previously described, water injections</w:t>
      </w:r>
      <w:r w:rsidRPr="00016159">
        <w:t xml:space="preserve"> </w:t>
      </w:r>
      <w:r w:rsidR="000D713F">
        <w:rPr>
          <w:sz w:val="22"/>
          <w:szCs w:val="22"/>
        </w:rPr>
        <w:t>remain as</w:t>
      </w:r>
      <w:r w:rsidRPr="00016159">
        <w:rPr>
          <w:sz w:val="22"/>
          <w:szCs w:val="22"/>
        </w:rPr>
        <w:t xml:space="preserve"> a viable </w:t>
      </w:r>
      <w:r w:rsidR="003A4193">
        <w:rPr>
          <w:sz w:val="22"/>
          <w:szCs w:val="22"/>
        </w:rPr>
        <w:t>control technology</w:t>
      </w:r>
      <w:r w:rsidRPr="00016159">
        <w:rPr>
          <w:sz w:val="22"/>
          <w:szCs w:val="22"/>
        </w:rPr>
        <w:t xml:space="preserve"> when firing oil in modern dual fuel combustors</w:t>
      </w:r>
      <w:r w:rsidR="001352E9">
        <w:rPr>
          <w:sz w:val="22"/>
          <w:szCs w:val="22"/>
        </w:rPr>
        <w:t xml:space="preserve">.  However, fuel oil will not be utilized in the </w:t>
      </w:r>
      <w:r w:rsidR="00336291">
        <w:rPr>
          <w:sz w:val="22"/>
          <w:szCs w:val="22"/>
        </w:rPr>
        <w:t>CTG</w:t>
      </w:r>
      <w:r w:rsidR="001352E9">
        <w:rPr>
          <w:sz w:val="22"/>
          <w:szCs w:val="22"/>
        </w:rPr>
        <w:t xml:space="preserve"> for this project, therefore, </w:t>
      </w:r>
      <w:r w:rsidR="001352E9" w:rsidRPr="001352E9">
        <w:rPr>
          <w:sz w:val="22"/>
          <w:szCs w:val="22"/>
        </w:rPr>
        <w:t>water injection is not considered technically feasible</w:t>
      </w:r>
      <w:r w:rsidR="001352E9">
        <w:rPr>
          <w:sz w:val="22"/>
          <w:szCs w:val="22"/>
        </w:rPr>
        <w:t>.</w:t>
      </w:r>
      <w:r w:rsidR="00DA45FA">
        <w:rPr>
          <w:sz w:val="22"/>
          <w:szCs w:val="22"/>
        </w:rPr>
        <w:t xml:space="preserve">  </w:t>
      </w:r>
      <w:r w:rsidR="00BF3E29">
        <w:rPr>
          <w:sz w:val="22"/>
          <w:szCs w:val="22"/>
        </w:rPr>
        <w:t>Other control technologies, such as</w:t>
      </w:r>
      <w:r w:rsidR="00E761EE" w:rsidRPr="00E761EE">
        <w:rPr>
          <w:sz w:val="22"/>
          <w:szCs w:val="22"/>
        </w:rPr>
        <w:t xml:space="preserve"> </w:t>
      </w:r>
      <w:r w:rsidR="00250206">
        <w:rPr>
          <w:sz w:val="22"/>
          <w:szCs w:val="22"/>
        </w:rPr>
        <w:t>EMx</w:t>
      </w:r>
      <w:r w:rsidR="00E761EE" w:rsidRPr="00E761EE">
        <w:rPr>
          <w:sz w:val="22"/>
          <w:szCs w:val="22"/>
        </w:rPr>
        <w:t xml:space="preserve"> </w:t>
      </w:r>
      <w:r w:rsidR="00966D7D">
        <w:rPr>
          <w:sz w:val="22"/>
          <w:szCs w:val="22"/>
        </w:rPr>
        <w:t>and XONON</w:t>
      </w:r>
      <w:r w:rsidR="00966D7D" w:rsidRPr="00966D7D">
        <w:rPr>
          <w:sz w:val="22"/>
          <w:szCs w:val="22"/>
          <w:vertAlign w:val="superscript"/>
        </w:rPr>
        <w:t>TM</w:t>
      </w:r>
      <w:r w:rsidR="00966D7D">
        <w:rPr>
          <w:sz w:val="22"/>
          <w:szCs w:val="22"/>
        </w:rPr>
        <w:t xml:space="preserve"> </w:t>
      </w:r>
      <w:r w:rsidR="00B26F79">
        <w:rPr>
          <w:sz w:val="22"/>
          <w:szCs w:val="22"/>
        </w:rPr>
        <w:t xml:space="preserve">are </w:t>
      </w:r>
      <w:r w:rsidR="00E761EE">
        <w:rPr>
          <w:sz w:val="22"/>
          <w:szCs w:val="22"/>
        </w:rPr>
        <w:t xml:space="preserve">also technically infeasible because </w:t>
      </w:r>
      <w:r w:rsidR="00527A4C">
        <w:rPr>
          <w:sz w:val="22"/>
          <w:szCs w:val="22"/>
        </w:rPr>
        <w:t>they have</w:t>
      </w:r>
      <w:r w:rsidR="00E761EE" w:rsidRPr="00E761EE">
        <w:rPr>
          <w:sz w:val="22"/>
          <w:szCs w:val="22"/>
        </w:rPr>
        <w:t xml:space="preserve"> not been commercially demonstrated on large combined cycle </w:t>
      </w:r>
      <w:r w:rsidR="00E761EE">
        <w:rPr>
          <w:sz w:val="22"/>
          <w:szCs w:val="22"/>
        </w:rPr>
        <w:t>combustion turbines</w:t>
      </w:r>
      <w:r w:rsidR="00E761EE" w:rsidRPr="00E761EE">
        <w:rPr>
          <w:sz w:val="22"/>
          <w:szCs w:val="22"/>
        </w:rPr>
        <w:t>.</w:t>
      </w:r>
      <w:r w:rsidR="007341C2">
        <w:rPr>
          <w:sz w:val="22"/>
          <w:szCs w:val="22"/>
        </w:rPr>
        <w:t xml:space="preserve">  </w:t>
      </w:r>
      <w:r w:rsidR="008B5853">
        <w:rPr>
          <w:sz w:val="22"/>
          <w:szCs w:val="22"/>
        </w:rPr>
        <w:t>T</w:t>
      </w:r>
      <w:r w:rsidR="00FB3B44">
        <w:rPr>
          <w:sz w:val="22"/>
          <w:szCs w:val="22"/>
        </w:rPr>
        <w:t>he NO</w:t>
      </w:r>
      <w:r w:rsidR="00FB3B44" w:rsidRPr="00FB3B44">
        <w:rPr>
          <w:sz w:val="22"/>
          <w:szCs w:val="22"/>
          <w:vertAlign w:val="subscript"/>
        </w:rPr>
        <w:t>X</w:t>
      </w:r>
      <w:r w:rsidR="0057492B" w:rsidRPr="0057492B">
        <w:rPr>
          <w:sz w:val="22"/>
          <w:szCs w:val="22"/>
        </w:rPr>
        <w:t>OUT system is limited mainly to boilers</w:t>
      </w:r>
      <w:r w:rsidR="0057492B">
        <w:rPr>
          <w:sz w:val="22"/>
          <w:szCs w:val="22"/>
        </w:rPr>
        <w:t xml:space="preserve"> and</w:t>
      </w:r>
      <w:r w:rsidR="0057492B" w:rsidRPr="0057492B">
        <w:t xml:space="preserve"> </w:t>
      </w:r>
      <w:r w:rsidR="0057492B" w:rsidRPr="0057492B">
        <w:rPr>
          <w:sz w:val="22"/>
          <w:szCs w:val="22"/>
        </w:rPr>
        <w:t>has</w:t>
      </w:r>
      <w:r w:rsidR="0057492B">
        <w:rPr>
          <w:sz w:val="22"/>
          <w:szCs w:val="22"/>
        </w:rPr>
        <w:t xml:space="preserve"> also</w:t>
      </w:r>
      <w:r w:rsidR="0057492B" w:rsidRPr="0057492B">
        <w:rPr>
          <w:sz w:val="22"/>
          <w:szCs w:val="22"/>
        </w:rPr>
        <w:t xml:space="preserve"> not been commercially operated on any large combined cycle</w:t>
      </w:r>
      <w:r w:rsidR="0057492B">
        <w:rPr>
          <w:sz w:val="22"/>
          <w:szCs w:val="22"/>
        </w:rPr>
        <w:t xml:space="preserve"> </w:t>
      </w:r>
      <w:r w:rsidR="0057492B" w:rsidRPr="0057492B">
        <w:rPr>
          <w:sz w:val="22"/>
          <w:szCs w:val="22"/>
        </w:rPr>
        <w:t>gas turbine unit</w:t>
      </w:r>
      <w:r w:rsidR="002631C0">
        <w:rPr>
          <w:sz w:val="22"/>
          <w:szCs w:val="22"/>
        </w:rPr>
        <w:t>s</w:t>
      </w:r>
      <w:r w:rsidR="0057492B">
        <w:rPr>
          <w:sz w:val="22"/>
          <w:szCs w:val="22"/>
        </w:rPr>
        <w:t>.</w:t>
      </w:r>
      <w:r w:rsidR="002631C0">
        <w:rPr>
          <w:sz w:val="22"/>
          <w:szCs w:val="22"/>
        </w:rPr>
        <w:t xml:space="preserve">  Similarly, </w:t>
      </w:r>
      <w:r w:rsidR="002631C0" w:rsidRPr="002631C0">
        <w:rPr>
          <w:sz w:val="22"/>
          <w:szCs w:val="22"/>
        </w:rPr>
        <w:t xml:space="preserve">there are no known applications </w:t>
      </w:r>
      <w:r w:rsidR="002631C0">
        <w:rPr>
          <w:sz w:val="22"/>
          <w:szCs w:val="22"/>
        </w:rPr>
        <w:t xml:space="preserve">of the </w:t>
      </w:r>
      <w:r w:rsidR="002631C0" w:rsidRPr="002631C0">
        <w:rPr>
          <w:sz w:val="22"/>
          <w:szCs w:val="22"/>
        </w:rPr>
        <w:t>Thermal DeNOx technology to combined</w:t>
      </w:r>
      <w:r w:rsidR="002631C0">
        <w:rPr>
          <w:sz w:val="22"/>
          <w:szCs w:val="22"/>
        </w:rPr>
        <w:t xml:space="preserve"> </w:t>
      </w:r>
      <w:r w:rsidR="002631C0" w:rsidRPr="002631C0">
        <w:rPr>
          <w:sz w:val="22"/>
          <w:szCs w:val="22"/>
        </w:rPr>
        <w:t>cycle units</w:t>
      </w:r>
      <w:r w:rsidR="0067490E">
        <w:rPr>
          <w:sz w:val="22"/>
          <w:szCs w:val="22"/>
        </w:rPr>
        <w:t xml:space="preserve"> and</w:t>
      </w:r>
      <w:r w:rsidR="0067490E" w:rsidRPr="0067490E">
        <w:t xml:space="preserve"> </w:t>
      </w:r>
      <w:r w:rsidR="0067490E" w:rsidRPr="0067490E">
        <w:rPr>
          <w:sz w:val="22"/>
          <w:szCs w:val="22"/>
        </w:rPr>
        <w:t>high capital, operating, and</w:t>
      </w:r>
      <w:r w:rsidR="0067490E">
        <w:rPr>
          <w:sz w:val="22"/>
          <w:szCs w:val="22"/>
        </w:rPr>
        <w:t xml:space="preserve"> </w:t>
      </w:r>
      <w:r w:rsidR="0067490E" w:rsidRPr="0067490E">
        <w:rPr>
          <w:sz w:val="22"/>
          <w:szCs w:val="22"/>
        </w:rPr>
        <w:t>maintenance costs would be expected because of material requirements, a natural gas-fired exhaust</w:t>
      </w:r>
      <w:r w:rsidR="0067490E">
        <w:rPr>
          <w:sz w:val="22"/>
          <w:szCs w:val="22"/>
        </w:rPr>
        <w:t xml:space="preserve"> </w:t>
      </w:r>
      <w:r w:rsidR="0067490E" w:rsidRPr="0067490E">
        <w:rPr>
          <w:sz w:val="22"/>
          <w:szCs w:val="22"/>
        </w:rPr>
        <w:t>heati</w:t>
      </w:r>
      <w:r w:rsidR="0067490E">
        <w:rPr>
          <w:sz w:val="22"/>
          <w:szCs w:val="22"/>
        </w:rPr>
        <w:t>ng system, and fuel consumption</w:t>
      </w:r>
      <w:r w:rsidR="002631C0">
        <w:rPr>
          <w:sz w:val="22"/>
          <w:szCs w:val="22"/>
        </w:rPr>
        <w:t>.</w:t>
      </w:r>
    </w:p>
    <w:p w:rsidR="00A47E4E" w:rsidRDefault="00672245" w:rsidP="00672245">
      <w:pPr>
        <w:widowControl w:val="0"/>
        <w:spacing w:after="120"/>
        <w:rPr>
          <w:sz w:val="22"/>
          <w:szCs w:val="22"/>
        </w:rPr>
      </w:pPr>
      <w:r>
        <w:rPr>
          <w:sz w:val="22"/>
          <w:szCs w:val="22"/>
        </w:rPr>
        <w:t>T</w:t>
      </w:r>
      <w:r w:rsidRPr="00672245">
        <w:rPr>
          <w:sz w:val="22"/>
          <w:szCs w:val="22"/>
        </w:rPr>
        <w:t>he temperature at the exhaust stack downstream of the</w:t>
      </w:r>
      <w:r>
        <w:rPr>
          <w:sz w:val="22"/>
          <w:szCs w:val="22"/>
        </w:rPr>
        <w:t xml:space="preserve"> </w:t>
      </w:r>
      <w:r w:rsidRPr="00672245">
        <w:rPr>
          <w:sz w:val="22"/>
          <w:szCs w:val="22"/>
        </w:rPr>
        <w:t>HRSG is expected to range betw</w:t>
      </w:r>
      <w:r w:rsidR="006C3529">
        <w:rPr>
          <w:sz w:val="22"/>
          <w:szCs w:val="22"/>
        </w:rPr>
        <w:t xml:space="preserve">een approximately 160 and 220°F.  Therefore, </w:t>
      </w:r>
      <w:r w:rsidR="006C3529" w:rsidRPr="007D3237">
        <w:rPr>
          <w:sz w:val="22"/>
          <w:szCs w:val="22"/>
        </w:rPr>
        <w:t>th</w:t>
      </w:r>
      <w:r w:rsidR="006C3529">
        <w:rPr>
          <w:sz w:val="22"/>
          <w:szCs w:val="22"/>
        </w:rPr>
        <w:t>e SNCR</w:t>
      </w:r>
      <w:r w:rsidR="006C3529" w:rsidRPr="007D3237">
        <w:rPr>
          <w:sz w:val="22"/>
          <w:szCs w:val="22"/>
        </w:rPr>
        <w:t xml:space="preserve"> technology is not technically feasible for this application</w:t>
      </w:r>
      <w:r w:rsidR="006C3529">
        <w:rPr>
          <w:sz w:val="22"/>
          <w:szCs w:val="22"/>
        </w:rPr>
        <w:t xml:space="preserve"> because</w:t>
      </w:r>
      <w:r w:rsidR="007D3237" w:rsidRPr="007D3237">
        <w:rPr>
          <w:sz w:val="22"/>
          <w:szCs w:val="22"/>
        </w:rPr>
        <w:t xml:space="preserve"> the proposed CT will not approach the operating temperature</w:t>
      </w:r>
      <w:r w:rsidR="007D3237">
        <w:rPr>
          <w:sz w:val="22"/>
          <w:szCs w:val="22"/>
        </w:rPr>
        <w:t xml:space="preserve"> window for SNCR.</w:t>
      </w:r>
      <w:r w:rsidR="007D3237" w:rsidRPr="007D3237">
        <w:rPr>
          <w:sz w:val="22"/>
          <w:szCs w:val="22"/>
        </w:rPr>
        <w:t xml:space="preserve"> </w:t>
      </w:r>
      <w:r w:rsidR="007D3237">
        <w:rPr>
          <w:sz w:val="22"/>
          <w:szCs w:val="22"/>
        </w:rPr>
        <w:t xml:space="preserve"> </w:t>
      </w:r>
      <w:r w:rsidR="006C3529">
        <w:rPr>
          <w:sz w:val="22"/>
          <w:szCs w:val="22"/>
        </w:rPr>
        <w:t>Furthermore,</w:t>
      </w:r>
      <w:r w:rsidR="007D3237">
        <w:rPr>
          <w:sz w:val="22"/>
          <w:szCs w:val="22"/>
        </w:rPr>
        <w:t xml:space="preserve"> t</w:t>
      </w:r>
      <w:r w:rsidR="007D3237" w:rsidRPr="00A47E4E">
        <w:rPr>
          <w:sz w:val="22"/>
          <w:szCs w:val="22"/>
        </w:rPr>
        <w:t>he NSCR process</w:t>
      </w:r>
      <w:r w:rsidR="007D3237">
        <w:rPr>
          <w:sz w:val="22"/>
          <w:szCs w:val="22"/>
        </w:rPr>
        <w:t xml:space="preserve"> will </w:t>
      </w:r>
      <w:r w:rsidR="007D3237" w:rsidRPr="00A47E4E">
        <w:rPr>
          <w:sz w:val="22"/>
          <w:szCs w:val="22"/>
        </w:rPr>
        <w:t>require low O</w:t>
      </w:r>
      <w:r w:rsidR="007D3237" w:rsidRPr="007D3237">
        <w:rPr>
          <w:sz w:val="22"/>
          <w:szCs w:val="22"/>
          <w:vertAlign w:val="subscript"/>
        </w:rPr>
        <w:t>2</w:t>
      </w:r>
      <w:r w:rsidR="007D3237" w:rsidRPr="00A47E4E">
        <w:rPr>
          <w:sz w:val="22"/>
          <w:szCs w:val="22"/>
        </w:rPr>
        <w:t xml:space="preserve"> content in the exhaust gas stream to be</w:t>
      </w:r>
      <w:r w:rsidR="007D3237">
        <w:rPr>
          <w:sz w:val="22"/>
          <w:szCs w:val="22"/>
        </w:rPr>
        <w:t xml:space="preserve"> </w:t>
      </w:r>
      <w:r w:rsidR="007D3237" w:rsidRPr="00A47E4E">
        <w:rPr>
          <w:sz w:val="22"/>
          <w:szCs w:val="22"/>
        </w:rPr>
        <w:t>effective</w:t>
      </w:r>
      <w:r w:rsidR="007D3237">
        <w:rPr>
          <w:sz w:val="22"/>
          <w:szCs w:val="22"/>
        </w:rPr>
        <w:t>, which is not the case for c</w:t>
      </w:r>
      <w:r w:rsidR="007D3237" w:rsidRPr="00A47E4E">
        <w:rPr>
          <w:sz w:val="22"/>
          <w:szCs w:val="22"/>
        </w:rPr>
        <w:t>ombined cycle unit</w:t>
      </w:r>
      <w:r w:rsidR="007D3237">
        <w:rPr>
          <w:sz w:val="22"/>
          <w:szCs w:val="22"/>
        </w:rPr>
        <w:t>s</w:t>
      </w:r>
      <w:r w:rsidR="007D3237" w:rsidRPr="00A47E4E">
        <w:rPr>
          <w:sz w:val="22"/>
          <w:szCs w:val="22"/>
        </w:rPr>
        <w:t xml:space="preserve"> </w:t>
      </w:r>
      <w:r w:rsidR="007D3237">
        <w:rPr>
          <w:sz w:val="22"/>
          <w:szCs w:val="22"/>
        </w:rPr>
        <w:t xml:space="preserve">which </w:t>
      </w:r>
      <w:r w:rsidR="007D3237" w:rsidRPr="00A47E4E">
        <w:rPr>
          <w:sz w:val="22"/>
          <w:szCs w:val="22"/>
        </w:rPr>
        <w:t>have high O</w:t>
      </w:r>
      <w:r w:rsidR="007D3237" w:rsidRPr="007D3237">
        <w:rPr>
          <w:sz w:val="22"/>
          <w:szCs w:val="22"/>
          <w:vertAlign w:val="subscript"/>
        </w:rPr>
        <w:t>2</w:t>
      </w:r>
      <w:r w:rsidR="007D3237" w:rsidRPr="00A47E4E">
        <w:rPr>
          <w:sz w:val="22"/>
          <w:szCs w:val="22"/>
        </w:rPr>
        <w:t xml:space="preserve"> levels (greater than 12 percent)</w:t>
      </w:r>
      <w:r w:rsidR="007D3237">
        <w:rPr>
          <w:sz w:val="22"/>
          <w:szCs w:val="22"/>
        </w:rPr>
        <w:t xml:space="preserve">.  </w:t>
      </w:r>
      <w:r w:rsidR="00A47E4E" w:rsidRPr="00A47E4E">
        <w:rPr>
          <w:sz w:val="22"/>
          <w:szCs w:val="22"/>
        </w:rPr>
        <w:t xml:space="preserve">As a result, </w:t>
      </w:r>
      <w:r w:rsidR="006C3529">
        <w:rPr>
          <w:sz w:val="22"/>
          <w:szCs w:val="22"/>
        </w:rPr>
        <w:t xml:space="preserve">the </w:t>
      </w:r>
      <w:r w:rsidR="0088130C">
        <w:rPr>
          <w:sz w:val="22"/>
          <w:szCs w:val="22"/>
        </w:rPr>
        <w:t>NSCR</w:t>
      </w:r>
      <w:r w:rsidR="006C3529">
        <w:rPr>
          <w:sz w:val="22"/>
          <w:szCs w:val="22"/>
        </w:rPr>
        <w:t xml:space="preserve"> technology </w:t>
      </w:r>
      <w:r w:rsidR="00A47E4E" w:rsidRPr="00A47E4E">
        <w:rPr>
          <w:sz w:val="22"/>
          <w:szCs w:val="22"/>
        </w:rPr>
        <w:t>is</w:t>
      </w:r>
      <w:r w:rsidR="006C3529">
        <w:rPr>
          <w:sz w:val="22"/>
          <w:szCs w:val="22"/>
        </w:rPr>
        <w:t xml:space="preserve"> also</w:t>
      </w:r>
      <w:r w:rsidR="00A47E4E" w:rsidRPr="00A47E4E">
        <w:rPr>
          <w:sz w:val="22"/>
          <w:szCs w:val="22"/>
        </w:rPr>
        <w:t xml:space="preserve"> not </w:t>
      </w:r>
      <w:r w:rsidR="006C3529">
        <w:rPr>
          <w:sz w:val="22"/>
          <w:szCs w:val="22"/>
        </w:rPr>
        <w:t>technically feasible</w:t>
      </w:r>
      <w:r w:rsidR="00A47E4E" w:rsidRPr="00A47E4E">
        <w:rPr>
          <w:sz w:val="22"/>
          <w:szCs w:val="22"/>
        </w:rPr>
        <w:t xml:space="preserve"> for </w:t>
      </w:r>
      <w:r w:rsidR="006C3529">
        <w:rPr>
          <w:sz w:val="22"/>
          <w:szCs w:val="22"/>
        </w:rPr>
        <w:t>this unit</w:t>
      </w:r>
      <w:r w:rsidR="00A47E4E" w:rsidRPr="00A47E4E">
        <w:rPr>
          <w:sz w:val="22"/>
          <w:szCs w:val="22"/>
        </w:rPr>
        <w:t>.</w:t>
      </w:r>
    </w:p>
    <w:p w:rsidR="00920983" w:rsidRDefault="00672CDB" w:rsidP="0032325C">
      <w:pPr>
        <w:widowControl w:val="0"/>
        <w:spacing w:after="120"/>
      </w:pPr>
      <w:r w:rsidRPr="00672CDB">
        <w:rPr>
          <w:sz w:val="22"/>
          <w:szCs w:val="22"/>
        </w:rPr>
        <w:t xml:space="preserve">Of these technologies, the applicant indicates that only </w:t>
      </w:r>
      <w:r w:rsidR="00DA731B">
        <w:rPr>
          <w:sz w:val="22"/>
          <w:szCs w:val="22"/>
        </w:rPr>
        <w:t xml:space="preserve">an SCR and </w:t>
      </w:r>
      <w:r w:rsidRPr="00672CDB">
        <w:rPr>
          <w:sz w:val="22"/>
          <w:szCs w:val="22"/>
        </w:rPr>
        <w:t>DLN</w:t>
      </w:r>
      <w:r w:rsidR="00DA731B">
        <w:rPr>
          <w:sz w:val="22"/>
          <w:szCs w:val="22"/>
        </w:rPr>
        <w:t xml:space="preserve"> combustors </w:t>
      </w:r>
      <w:r w:rsidR="00DA731B" w:rsidRPr="00DA731B">
        <w:rPr>
          <w:sz w:val="22"/>
          <w:szCs w:val="22"/>
        </w:rPr>
        <w:t>are considered to be technically feasible</w:t>
      </w:r>
      <w:r w:rsidRPr="00672CDB">
        <w:rPr>
          <w:sz w:val="22"/>
          <w:szCs w:val="22"/>
        </w:rPr>
        <w:t xml:space="preserve"> for the project.</w:t>
      </w:r>
    </w:p>
    <w:p w:rsidR="00920983" w:rsidRDefault="00920983" w:rsidP="00920983">
      <w:pPr>
        <w:widowControl w:val="0"/>
        <w:spacing w:after="120"/>
      </w:pPr>
      <w:r w:rsidRPr="00920983">
        <w:rPr>
          <w:sz w:val="22"/>
          <w:szCs w:val="22"/>
          <w:u w:val="single"/>
        </w:rPr>
        <w:t>Evaluation of Economic, Environmental, and Energy Impacts of Feasible Technologies</w:t>
      </w:r>
    </w:p>
    <w:p w:rsidR="00672CDB" w:rsidRDefault="00F93F77" w:rsidP="0032325C">
      <w:pPr>
        <w:widowControl w:val="0"/>
        <w:spacing w:after="120"/>
        <w:rPr>
          <w:sz w:val="22"/>
          <w:szCs w:val="22"/>
        </w:rPr>
      </w:pPr>
      <w:r>
        <w:t>P</w:t>
      </w:r>
      <w:r w:rsidR="0032325C" w:rsidRPr="0032325C">
        <w:rPr>
          <w:sz w:val="22"/>
          <w:szCs w:val="22"/>
        </w:rPr>
        <w:t>roperly tuned DLN combustors do not create negative environmental impacts since</w:t>
      </w:r>
      <w:r w:rsidR="0032325C">
        <w:rPr>
          <w:sz w:val="22"/>
          <w:szCs w:val="22"/>
        </w:rPr>
        <w:t xml:space="preserve"> </w:t>
      </w:r>
      <w:r w:rsidR="0032325C" w:rsidRPr="0032325C">
        <w:rPr>
          <w:sz w:val="22"/>
          <w:szCs w:val="22"/>
        </w:rPr>
        <w:t xml:space="preserve">these systems are designed and operated to achieve the optimum balance between CO and </w:t>
      </w:r>
      <w:r w:rsidR="00634A36" w:rsidRPr="004F3CA9">
        <w:rPr>
          <w:sz w:val="22"/>
          <w:szCs w:val="22"/>
        </w:rPr>
        <w:t>NO</w:t>
      </w:r>
      <w:r w:rsidR="00634A36" w:rsidRPr="00FA48A4">
        <w:rPr>
          <w:sz w:val="22"/>
          <w:szCs w:val="22"/>
          <w:vertAlign w:val="subscript"/>
        </w:rPr>
        <w:t>X</w:t>
      </w:r>
      <w:r w:rsidR="0032325C">
        <w:rPr>
          <w:sz w:val="22"/>
          <w:szCs w:val="22"/>
        </w:rPr>
        <w:t xml:space="preserve"> </w:t>
      </w:r>
      <w:r w:rsidR="0032325C" w:rsidRPr="0032325C">
        <w:rPr>
          <w:sz w:val="22"/>
          <w:szCs w:val="22"/>
        </w:rPr>
        <w:t>emissions</w:t>
      </w:r>
      <w:r w:rsidR="0032325C" w:rsidRPr="005549B4">
        <w:rPr>
          <w:sz w:val="22"/>
          <w:szCs w:val="22"/>
        </w:rPr>
        <w:t xml:space="preserve">. </w:t>
      </w:r>
      <w:r w:rsidRPr="005549B4">
        <w:rPr>
          <w:sz w:val="22"/>
          <w:szCs w:val="22"/>
        </w:rPr>
        <w:t xml:space="preserve"> </w:t>
      </w:r>
      <w:r w:rsidR="00C82879">
        <w:rPr>
          <w:sz w:val="22"/>
        </w:rPr>
        <w:t xml:space="preserve">The applicant also evaluated a reduction of approximately </w:t>
      </w:r>
      <w:r w:rsidR="00C82879" w:rsidRPr="005549B4">
        <w:rPr>
          <w:sz w:val="22"/>
        </w:rPr>
        <w:t xml:space="preserve">1,500 TPY </w:t>
      </w:r>
      <w:r w:rsidR="00C82879">
        <w:rPr>
          <w:sz w:val="22"/>
        </w:rPr>
        <w:t xml:space="preserve">of </w:t>
      </w:r>
      <w:r w:rsidR="00C82879" w:rsidRPr="005549B4">
        <w:rPr>
          <w:sz w:val="22"/>
        </w:rPr>
        <w:t>NO</w:t>
      </w:r>
      <w:r w:rsidR="00C82879" w:rsidRPr="005549B4">
        <w:rPr>
          <w:sz w:val="22"/>
          <w:vertAlign w:val="subscript"/>
        </w:rPr>
        <w:t>X</w:t>
      </w:r>
      <w:r w:rsidR="00C82879" w:rsidRPr="005549B4">
        <w:rPr>
          <w:sz w:val="22"/>
        </w:rPr>
        <w:t xml:space="preserve"> emissions</w:t>
      </w:r>
      <w:r w:rsidR="00C82879">
        <w:rPr>
          <w:sz w:val="22"/>
        </w:rPr>
        <w:t xml:space="preserve"> with an</w:t>
      </w:r>
      <w:r w:rsidR="005549B4" w:rsidRPr="005549B4">
        <w:rPr>
          <w:sz w:val="22"/>
        </w:rPr>
        <w:t xml:space="preserve"> SCR</w:t>
      </w:r>
      <w:r w:rsidR="00C82879">
        <w:rPr>
          <w:sz w:val="22"/>
        </w:rPr>
        <w:t>.</w:t>
      </w:r>
      <w:r w:rsidR="005549B4" w:rsidRPr="005549B4">
        <w:rPr>
          <w:sz w:val="22"/>
        </w:rPr>
        <w:t xml:space="preserve"> </w:t>
      </w:r>
      <w:r w:rsidR="00C82879">
        <w:rPr>
          <w:sz w:val="22"/>
        </w:rPr>
        <w:t xml:space="preserve"> </w:t>
      </w:r>
      <w:r w:rsidR="00067819" w:rsidRPr="005549B4">
        <w:rPr>
          <w:sz w:val="22"/>
        </w:rPr>
        <w:t xml:space="preserve">The </w:t>
      </w:r>
      <w:r w:rsidR="0032325C" w:rsidRPr="0032325C">
        <w:rPr>
          <w:sz w:val="22"/>
          <w:szCs w:val="22"/>
        </w:rPr>
        <w:t xml:space="preserve">SCR </w:t>
      </w:r>
      <w:r w:rsidR="00067819">
        <w:rPr>
          <w:sz w:val="22"/>
          <w:szCs w:val="22"/>
        </w:rPr>
        <w:t>will require</w:t>
      </w:r>
      <w:r w:rsidR="00067819" w:rsidRPr="00067819">
        <w:t xml:space="preserve"> </w:t>
      </w:r>
      <w:r w:rsidR="00067819" w:rsidRPr="00067819">
        <w:rPr>
          <w:sz w:val="22"/>
          <w:szCs w:val="22"/>
        </w:rPr>
        <w:t>either anhydrous or aqueous</w:t>
      </w:r>
      <w:r w:rsidR="0032325C" w:rsidRPr="0032325C">
        <w:rPr>
          <w:sz w:val="22"/>
          <w:szCs w:val="22"/>
        </w:rPr>
        <w:t xml:space="preserve"> </w:t>
      </w:r>
      <w:r w:rsidR="00067819">
        <w:rPr>
          <w:sz w:val="22"/>
          <w:szCs w:val="22"/>
        </w:rPr>
        <w:t>ammonia</w:t>
      </w:r>
      <w:r w:rsidR="0032325C" w:rsidRPr="0032325C">
        <w:rPr>
          <w:sz w:val="22"/>
          <w:szCs w:val="22"/>
        </w:rPr>
        <w:t>, which can cause environmental consequences if not</w:t>
      </w:r>
      <w:r w:rsidR="0032325C">
        <w:rPr>
          <w:sz w:val="22"/>
          <w:szCs w:val="22"/>
        </w:rPr>
        <w:t xml:space="preserve"> </w:t>
      </w:r>
      <w:r w:rsidR="0032325C" w:rsidRPr="0032325C">
        <w:rPr>
          <w:sz w:val="22"/>
          <w:szCs w:val="22"/>
        </w:rPr>
        <w:t xml:space="preserve">handled and stored properly. </w:t>
      </w:r>
      <w:r>
        <w:rPr>
          <w:sz w:val="22"/>
          <w:szCs w:val="22"/>
        </w:rPr>
        <w:t xml:space="preserve"> </w:t>
      </w:r>
      <w:r w:rsidR="00E475CB">
        <w:rPr>
          <w:sz w:val="22"/>
          <w:szCs w:val="22"/>
        </w:rPr>
        <w:t xml:space="preserve">However, </w:t>
      </w:r>
      <w:r w:rsidR="00A763D6">
        <w:rPr>
          <w:sz w:val="22"/>
          <w:szCs w:val="22"/>
        </w:rPr>
        <w:t>t</w:t>
      </w:r>
      <w:r w:rsidR="008D0848">
        <w:rPr>
          <w:sz w:val="22"/>
          <w:szCs w:val="22"/>
        </w:rPr>
        <w:t>he s</w:t>
      </w:r>
      <w:r w:rsidR="0032325C" w:rsidRPr="0032325C">
        <w:rPr>
          <w:sz w:val="22"/>
          <w:szCs w:val="22"/>
        </w:rPr>
        <w:t>torage</w:t>
      </w:r>
      <w:r w:rsidR="0032325C">
        <w:rPr>
          <w:sz w:val="22"/>
          <w:szCs w:val="22"/>
        </w:rPr>
        <w:t xml:space="preserve"> </w:t>
      </w:r>
      <w:r w:rsidR="0032325C" w:rsidRPr="0032325C">
        <w:rPr>
          <w:sz w:val="22"/>
          <w:szCs w:val="22"/>
        </w:rPr>
        <w:t xml:space="preserve">of anhydrous and aqueous </w:t>
      </w:r>
      <w:r w:rsidR="008D0848">
        <w:rPr>
          <w:sz w:val="22"/>
          <w:szCs w:val="22"/>
        </w:rPr>
        <w:t xml:space="preserve">ammonia </w:t>
      </w:r>
      <w:r w:rsidR="0032325C" w:rsidRPr="0032325C">
        <w:rPr>
          <w:sz w:val="22"/>
          <w:szCs w:val="22"/>
        </w:rPr>
        <w:t>(20% or greater) will trigger requirements</w:t>
      </w:r>
      <w:r w:rsidR="00A763D6">
        <w:rPr>
          <w:sz w:val="22"/>
          <w:szCs w:val="22"/>
        </w:rPr>
        <w:t xml:space="preserve"> imposed</w:t>
      </w:r>
      <w:r w:rsidR="00315FD9" w:rsidRPr="0032325C">
        <w:rPr>
          <w:sz w:val="22"/>
          <w:szCs w:val="22"/>
        </w:rPr>
        <w:t xml:space="preserve"> by OSHA and the</w:t>
      </w:r>
      <w:r w:rsidR="00315FD9">
        <w:rPr>
          <w:sz w:val="22"/>
          <w:szCs w:val="22"/>
        </w:rPr>
        <w:t xml:space="preserve"> </w:t>
      </w:r>
      <w:r w:rsidR="00315FD9" w:rsidRPr="0032325C">
        <w:rPr>
          <w:sz w:val="22"/>
          <w:szCs w:val="22"/>
        </w:rPr>
        <w:t>Community Right-to-Know Act</w:t>
      </w:r>
      <w:r w:rsidR="0032325C" w:rsidRPr="0032325C">
        <w:rPr>
          <w:sz w:val="22"/>
          <w:szCs w:val="22"/>
        </w:rPr>
        <w:t>.</w:t>
      </w:r>
      <w:r w:rsidR="008D0848">
        <w:rPr>
          <w:sz w:val="22"/>
          <w:szCs w:val="22"/>
        </w:rPr>
        <w:t xml:space="preserve"> </w:t>
      </w:r>
      <w:r w:rsidR="0032325C" w:rsidRPr="0032325C">
        <w:rPr>
          <w:sz w:val="22"/>
          <w:szCs w:val="22"/>
        </w:rPr>
        <w:t xml:space="preserve"> </w:t>
      </w:r>
      <w:r w:rsidR="00747F75">
        <w:rPr>
          <w:sz w:val="22"/>
          <w:szCs w:val="22"/>
        </w:rPr>
        <w:t>The applicant</w:t>
      </w:r>
      <w:r w:rsidR="0032325C" w:rsidRPr="0032325C">
        <w:rPr>
          <w:sz w:val="22"/>
          <w:szCs w:val="22"/>
        </w:rPr>
        <w:t xml:space="preserve"> intends to use aqueous ammonia in a 19% or lower solution</w:t>
      </w:r>
      <w:r w:rsidR="007B5833">
        <w:rPr>
          <w:sz w:val="22"/>
          <w:szCs w:val="22"/>
        </w:rPr>
        <w:t>.  A</w:t>
      </w:r>
      <w:r w:rsidR="00A763D6">
        <w:rPr>
          <w:sz w:val="22"/>
          <w:szCs w:val="22"/>
        </w:rPr>
        <w:t xml:space="preserve">mmonia </w:t>
      </w:r>
      <w:r w:rsidR="0032325C" w:rsidRPr="0032325C">
        <w:rPr>
          <w:sz w:val="22"/>
          <w:szCs w:val="22"/>
        </w:rPr>
        <w:t>slip</w:t>
      </w:r>
      <w:r w:rsidR="00A763D6">
        <w:rPr>
          <w:sz w:val="22"/>
          <w:szCs w:val="22"/>
        </w:rPr>
        <w:t xml:space="preserve"> </w:t>
      </w:r>
      <w:r w:rsidR="00747F75">
        <w:rPr>
          <w:sz w:val="22"/>
          <w:szCs w:val="22"/>
        </w:rPr>
        <w:t>concentrations</w:t>
      </w:r>
      <w:r w:rsidR="007B5833">
        <w:rPr>
          <w:sz w:val="22"/>
          <w:szCs w:val="22"/>
        </w:rPr>
        <w:t xml:space="preserve"> </w:t>
      </w:r>
      <w:r w:rsidR="007B5833" w:rsidRPr="007B5833">
        <w:rPr>
          <w:sz w:val="22"/>
          <w:szCs w:val="22"/>
        </w:rPr>
        <w:t xml:space="preserve">(i.e., unreacted </w:t>
      </w:r>
      <w:r w:rsidR="007B5833">
        <w:rPr>
          <w:sz w:val="22"/>
          <w:szCs w:val="22"/>
        </w:rPr>
        <w:t>ammonia</w:t>
      </w:r>
      <w:r w:rsidR="007B5833" w:rsidRPr="007B5833">
        <w:rPr>
          <w:sz w:val="22"/>
          <w:szCs w:val="22"/>
        </w:rPr>
        <w:t xml:space="preserve"> emitted from the stack)</w:t>
      </w:r>
      <w:r w:rsidR="00747F75">
        <w:rPr>
          <w:sz w:val="22"/>
          <w:szCs w:val="22"/>
        </w:rPr>
        <w:t xml:space="preserve"> </w:t>
      </w:r>
      <w:r w:rsidR="007B5833">
        <w:rPr>
          <w:sz w:val="22"/>
          <w:szCs w:val="22"/>
        </w:rPr>
        <w:t xml:space="preserve">is </w:t>
      </w:r>
      <w:r w:rsidR="0032325C" w:rsidRPr="0032325C">
        <w:rPr>
          <w:sz w:val="22"/>
          <w:szCs w:val="22"/>
        </w:rPr>
        <w:t>typically</w:t>
      </w:r>
      <w:r w:rsidR="00747F75">
        <w:rPr>
          <w:sz w:val="22"/>
          <w:szCs w:val="22"/>
        </w:rPr>
        <w:t xml:space="preserve"> </w:t>
      </w:r>
      <w:r w:rsidR="0032325C" w:rsidRPr="0032325C">
        <w:rPr>
          <w:sz w:val="22"/>
          <w:szCs w:val="22"/>
        </w:rPr>
        <w:t>9 ppm or less</w:t>
      </w:r>
      <w:r w:rsidR="00680192">
        <w:rPr>
          <w:sz w:val="22"/>
          <w:szCs w:val="22"/>
        </w:rPr>
        <w:t xml:space="preserve"> </w:t>
      </w:r>
      <w:r w:rsidR="0032325C" w:rsidRPr="0032325C">
        <w:rPr>
          <w:sz w:val="22"/>
          <w:szCs w:val="22"/>
        </w:rPr>
        <w:t>but has the potential to increase</w:t>
      </w:r>
      <w:r w:rsidR="0032325C">
        <w:rPr>
          <w:sz w:val="22"/>
          <w:szCs w:val="22"/>
        </w:rPr>
        <w:t xml:space="preserve"> </w:t>
      </w:r>
      <w:r w:rsidR="005B7AB3">
        <w:rPr>
          <w:sz w:val="22"/>
          <w:szCs w:val="22"/>
        </w:rPr>
        <w:t>depending on the</w:t>
      </w:r>
      <w:r w:rsidR="0032325C" w:rsidRPr="0032325C">
        <w:rPr>
          <w:sz w:val="22"/>
          <w:szCs w:val="22"/>
        </w:rPr>
        <w:t xml:space="preserve"> </w:t>
      </w:r>
      <w:r w:rsidR="00A763D6">
        <w:rPr>
          <w:sz w:val="22"/>
          <w:szCs w:val="22"/>
        </w:rPr>
        <w:t>ammonia</w:t>
      </w:r>
      <w:r w:rsidR="0032325C" w:rsidRPr="0032325C">
        <w:rPr>
          <w:sz w:val="22"/>
          <w:szCs w:val="22"/>
        </w:rPr>
        <w:t xml:space="preserve"> feed rates. </w:t>
      </w:r>
      <w:r w:rsidR="0080550B">
        <w:rPr>
          <w:sz w:val="22"/>
          <w:szCs w:val="22"/>
        </w:rPr>
        <w:t xml:space="preserve"> </w:t>
      </w:r>
      <w:r w:rsidR="0032325C" w:rsidRPr="0032325C">
        <w:rPr>
          <w:sz w:val="22"/>
          <w:szCs w:val="22"/>
        </w:rPr>
        <w:t xml:space="preserve">Additionally, the </w:t>
      </w:r>
      <w:r w:rsidR="008B75B1">
        <w:rPr>
          <w:sz w:val="22"/>
          <w:szCs w:val="22"/>
        </w:rPr>
        <w:t xml:space="preserve">used </w:t>
      </w:r>
      <w:r w:rsidR="0032325C" w:rsidRPr="0032325C">
        <w:rPr>
          <w:sz w:val="22"/>
          <w:szCs w:val="22"/>
        </w:rPr>
        <w:t>catalyst would be returned to the catalyst supplier for regeneration</w:t>
      </w:r>
      <w:r w:rsidR="0032325C">
        <w:rPr>
          <w:sz w:val="22"/>
          <w:szCs w:val="22"/>
        </w:rPr>
        <w:t xml:space="preserve"> </w:t>
      </w:r>
      <w:r w:rsidR="0032325C" w:rsidRPr="0032325C">
        <w:rPr>
          <w:sz w:val="22"/>
          <w:szCs w:val="22"/>
        </w:rPr>
        <w:t xml:space="preserve">or </w:t>
      </w:r>
      <w:r w:rsidR="008B75B1">
        <w:rPr>
          <w:sz w:val="22"/>
          <w:szCs w:val="22"/>
        </w:rPr>
        <w:t>dispos</w:t>
      </w:r>
      <w:r w:rsidR="009B7096">
        <w:rPr>
          <w:sz w:val="22"/>
          <w:szCs w:val="22"/>
        </w:rPr>
        <w:t>ed of</w:t>
      </w:r>
      <w:r w:rsidR="0032325C" w:rsidRPr="0032325C">
        <w:rPr>
          <w:sz w:val="22"/>
          <w:szCs w:val="22"/>
        </w:rPr>
        <w:t xml:space="preserve"> in accordance with all applicable regulations</w:t>
      </w:r>
      <w:r w:rsidR="00B901B9">
        <w:rPr>
          <w:sz w:val="22"/>
          <w:szCs w:val="22"/>
        </w:rPr>
        <w:t>.</w:t>
      </w:r>
    </w:p>
    <w:p w:rsidR="00680192" w:rsidRDefault="00C2095E" w:rsidP="00125986">
      <w:pPr>
        <w:widowControl w:val="0"/>
        <w:spacing w:after="120"/>
        <w:rPr>
          <w:sz w:val="22"/>
          <w:szCs w:val="22"/>
        </w:rPr>
      </w:pPr>
      <w:r w:rsidRPr="00C2095E">
        <w:rPr>
          <w:sz w:val="22"/>
          <w:szCs w:val="22"/>
        </w:rPr>
        <w:t>The</w:t>
      </w:r>
      <w:r w:rsidR="004C017B">
        <w:rPr>
          <w:sz w:val="22"/>
          <w:szCs w:val="22"/>
        </w:rPr>
        <w:t xml:space="preserve"> applicant estimated</w:t>
      </w:r>
      <w:r w:rsidR="00BE1A04">
        <w:rPr>
          <w:sz w:val="22"/>
          <w:szCs w:val="22"/>
        </w:rPr>
        <w:t xml:space="preserve"> a</w:t>
      </w:r>
      <w:r w:rsidRPr="00C2095E">
        <w:rPr>
          <w:sz w:val="22"/>
          <w:szCs w:val="22"/>
        </w:rPr>
        <w:t xml:space="preserve"> total annualized cost of </w:t>
      </w:r>
      <w:r w:rsidR="00BE1A04">
        <w:rPr>
          <w:sz w:val="22"/>
          <w:szCs w:val="22"/>
        </w:rPr>
        <w:t xml:space="preserve">approximately $1.8 million and a </w:t>
      </w:r>
      <w:r w:rsidR="00125986" w:rsidRPr="00125986">
        <w:rPr>
          <w:sz w:val="22"/>
          <w:szCs w:val="22"/>
        </w:rPr>
        <w:t>total capital cost of about $4.2 million</w:t>
      </w:r>
      <w:r w:rsidR="00BE1A04">
        <w:rPr>
          <w:sz w:val="22"/>
          <w:szCs w:val="22"/>
        </w:rPr>
        <w:t xml:space="preserve"> for the SCR</w:t>
      </w:r>
      <w:r w:rsidR="00125986" w:rsidRPr="00125986">
        <w:rPr>
          <w:sz w:val="22"/>
          <w:szCs w:val="22"/>
        </w:rPr>
        <w:t>.</w:t>
      </w:r>
      <w:r w:rsidR="00125986">
        <w:rPr>
          <w:sz w:val="22"/>
          <w:szCs w:val="22"/>
        </w:rPr>
        <w:t xml:space="preserve">  </w:t>
      </w:r>
      <w:r w:rsidR="00BE1A04">
        <w:rPr>
          <w:sz w:val="22"/>
          <w:szCs w:val="22"/>
        </w:rPr>
        <w:t xml:space="preserve">The </w:t>
      </w:r>
      <w:r w:rsidR="00BE1A04" w:rsidRPr="00125986">
        <w:rPr>
          <w:sz w:val="22"/>
          <w:szCs w:val="22"/>
        </w:rPr>
        <w:t xml:space="preserve">DLN combustors are part of the standard design of </w:t>
      </w:r>
      <w:r w:rsidR="00BB042D">
        <w:rPr>
          <w:sz w:val="22"/>
          <w:szCs w:val="22"/>
        </w:rPr>
        <w:t xml:space="preserve">the </w:t>
      </w:r>
      <w:r w:rsidR="00BB042D" w:rsidRPr="00BB042D">
        <w:rPr>
          <w:sz w:val="22"/>
          <w:szCs w:val="22"/>
        </w:rPr>
        <w:t>7HA.02 turbines</w:t>
      </w:r>
      <w:r w:rsidR="00BB042D">
        <w:rPr>
          <w:sz w:val="22"/>
          <w:szCs w:val="22"/>
        </w:rPr>
        <w:t xml:space="preserve"> </w:t>
      </w:r>
      <w:r w:rsidR="00BE1A04" w:rsidRPr="00125986">
        <w:rPr>
          <w:sz w:val="22"/>
          <w:szCs w:val="22"/>
        </w:rPr>
        <w:t xml:space="preserve">to substantially reduce </w:t>
      </w:r>
      <w:r w:rsidR="00634A36" w:rsidRPr="004F3CA9">
        <w:rPr>
          <w:sz w:val="22"/>
          <w:szCs w:val="22"/>
        </w:rPr>
        <w:t>NO</w:t>
      </w:r>
      <w:r w:rsidR="00634A36" w:rsidRPr="00FA48A4">
        <w:rPr>
          <w:sz w:val="22"/>
          <w:szCs w:val="22"/>
          <w:vertAlign w:val="subscript"/>
        </w:rPr>
        <w:t>X</w:t>
      </w:r>
      <w:r w:rsidR="00BE1A04" w:rsidRPr="00125986">
        <w:rPr>
          <w:sz w:val="22"/>
          <w:szCs w:val="22"/>
        </w:rPr>
        <w:t xml:space="preserve"> emissions.</w:t>
      </w:r>
      <w:r w:rsidR="00BE1A04">
        <w:rPr>
          <w:sz w:val="22"/>
          <w:szCs w:val="22"/>
        </w:rPr>
        <w:t xml:space="preserve">  </w:t>
      </w:r>
      <w:r w:rsidRPr="00C2095E">
        <w:rPr>
          <w:sz w:val="22"/>
          <w:szCs w:val="22"/>
        </w:rPr>
        <w:t>The</w:t>
      </w:r>
      <w:r w:rsidR="00BE1A04">
        <w:rPr>
          <w:sz w:val="22"/>
          <w:szCs w:val="22"/>
        </w:rPr>
        <w:t>refore, the applicant estimated an</w:t>
      </w:r>
      <w:r w:rsidRPr="00C2095E">
        <w:rPr>
          <w:sz w:val="22"/>
          <w:szCs w:val="22"/>
        </w:rPr>
        <w:t xml:space="preserve"> incremental cost effectiveness of adding</w:t>
      </w:r>
      <w:r w:rsidR="00BE1A04">
        <w:rPr>
          <w:sz w:val="22"/>
          <w:szCs w:val="22"/>
        </w:rPr>
        <w:t xml:space="preserve"> the</w:t>
      </w:r>
      <w:r w:rsidRPr="00C2095E">
        <w:rPr>
          <w:sz w:val="22"/>
          <w:szCs w:val="22"/>
        </w:rPr>
        <w:t xml:space="preserve"> SCR to</w:t>
      </w:r>
      <w:r>
        <w:rPr>
          <w:sz w:val="22"/>
          <w:szCs w:val="22"/>
        </w:rPr>
        <w:t xml:space="preserve"> </w:t>
      </w:r>
      <w:r w:rsidRPr="00C2095E">
        <w:rPr>
          <w:sz w:val="22"/>
          <w:szCs w:val="22"/>
        </w:rPr>
        <w:t xml:space="preserve">the DLN combustors </w:t>
      </w:r>
      <w:r w:rsidR="00744C49">
        <w:rPr>
          <w:sz w:val="22"/>
          <w:szCs w:val="22"/>
        </w:rPr>
        <w:t xml:space="preserve">as </w:t>
      </w:r>
      <w:r w:rsidRPr="00C2095E">
        <w:rPr>
          <w:sz w:val="22"/>
          <w:szCs w:val="22"/>
        </w:rPr>
        <w:t>$1,321-per ton of NO</w:t>
      </w:r>
      <w:r w:rsidRPr="00282BED">
        <w:rPr>
          <w:sz w:val="22"/>
          <w:szCs w:val="22"/>
          <w:vertAlign w:val="subscript"/>
        </w:rPr>
        <w:t>X</w:t>
      </w:r>
      <w:r w:rsidRPr="00C2095E">
        <w:rPr>
          <w:sz w:val="22"/>
          <w:szCs w:val="22"/>
        </w:rPr>
        <w:t xml:space="preserve"> removed, based on 8,760 hours of operation</w:t>
      </w:r>
      <w:r>
        <w:rPr>
          <w:sz w:val="22"/>
          <w:szCs w:val="22"/>
        </w:rPr>
        <w:t xml:space="preserve"> </w:t>
      </w:r>
      <w:r w:rsidRPr="00C2095E">
        <w:rPr>
          <w:sz w:val="22"/>
          <w:szCs w:val="22"/>
        </w:rPr>
        <w:t>with 4,760 hours firing natural gas at baseload and 4,000 hours of duct firing.</w:t>
      </w:r>
    </w:p>
    <w:p w:rsidR="00B31D0D" w:rsidRPr="006C19BE" w:rsidRDefault="00B31D0D" w:rsidP="00B31D0D">
      <w:pPr>
        <w:widowControl w:val="0"/>
        <w:spacing w:after="120"/>
        <w:rPr>
          <w:i/>
          <w:sz w:val="22"/>
          <w:szCs w:val="22"/>
          <w:highlight w:val="yellow"/>
        </w:rPr>
      </w:pPr>
      <w:r w:rsidRPr="006C19BE">
        <w:rPr>
          <w:sz w:val="22"/>
          <w:szCs w:val="22"/>
          <w:u w:val="single"/>
        </w:rPr>
        <w:t>Selection of BACT and Rationale</w:t>
      </w:r>
    </w:p>
    <w:p w:rsidR="00A52808" w:rsidRDefault="00A52808" w:rsidP="0012067D">
      <w:pPr>
        <w:pStyle w:val="BodyText2"/>
        <w:widowControl w:val="0"/>
        <w:jc w:val="left"/>
        <w:rPr>
          <w:szCs w:val="22"/>
        </w:rPr>
      </w:pPr>
      <w:r w:rsidRPr="001D6A3A">
        <w:rPr>
          <w:szCs w:val="22"/>
        </w:rPr>
        <w:t>As stated in the definition of BACT, “</w:t>
      </w:r>
      <w:r w:rsidRPr="001D6A3A">
        <w:rPr>
          <w:i/>
          <w:szCs w:val="22"/>
        </w:rPr>
        <w:t>in no event shall application of BACT result in emissions of any pollutant which would exceed the emissions allowed by any applicable standard under 40 CFR Parts 60, 61, and 63</w:t>
      </w:r>
      <w:r w:rsidRPr="001D6A3A">
        <w:rPr>
          <w:szCs w:val="22"/>
        </w:rPr>
        <w:t>”.  A</w:t>
      </w:r>
      <w:r>
        <w:rPr>
          <w:szCs w:val="22"/>
        </w:rPr>
        <w:t>n NSPS</w:t>
      </w:r>
      <w:r w:rsidRPr="001D6A3A">
        <w:rPr>
          <w:szCs w:val="22"/>
        </w:rPr>
        <w:t xml:space="preserve"> NO</w:t>
      </w:r>
      <w:r w:rsidRPr="001D6A3A">
        <w:rPr>
          <w:szCs w:val="22"/>
          <w:vertAlign w:val="subscript"/>
        </w:rPr>
        <w:t>X</w:t>
      </w:r>
      <w:r w:rsidRPr="001D6A3A">
        <w:rPr>
          <w:szCs w:val="22"/>
        </w:rPr>
        <w:t xml:space="preserve"> standard of</w:t>
      </w:r>
      <w:r>
        <w:rPr>
          <w:szCs w:val="22"/>
        </w:rPr>
        <w:t xml:space="preserve"> 15 ppmvd at 15% O</w:t>
      </w:r>
      <w:r w:rsidRPr="00C83BA8">
        <w:rPr>
          <w:szCs w:val="22"/>
          <w:vertAlign w:val="subscript"/>
        </w:rPr>
        <w:t>2</w:t>
      </w:r>
      <w:r>
        <w:rPr>
          <w:szCs w:val="22"/>
        </w:rPr>
        <w:t xml:space="preserve"> applies and a</w:t>
      </w:r>
      <w:r w:rsidRPr="001D6A3A">
        <w:rPr>
          <w:szCs w:val="22"/>
        </w:rPr>
        <w:t xml:space="preserve"> 96 ppmvd </w:t>
      </w:r>
      <w:r>
        <w:rPr>
          <w:szCs w:val="22"/>
        </w:rPr>
        <w:t xml:space="preserve">at </w:t>
      </w:r>
      <w:r w:rsidRPr="001D6A3A">
        <w:rPr>
          <w:szCs w:val="22"/>
        </w:rPr>
        <w:t>15% O</w:t>
      </w:r>
      <w:r w:rsidRPr="001D6A3A">
        <w:rPr>
          <w:szCs w:val="22"/>
          <w:vertAlign w:val="subscript"/>
        </w:rPr>
        <w:t>2</w:t>
      </w:r>
      <w:r w:rsidRPr="001D6A3A">
        <w:rPr>
          <w:szCs w:val="22"/>
        </w:rPr>
        <w:t xml:space="preserve"> </w:t>
      </w:r>
      <w:r>
        <w:rPr>
          <w:szCs w:val="22"/>
        </w:rPr>
        <w:t xml:space="preserve">limit </w:t>
      </w:r>
      <w:r w:rsidRPr="001D6A3A">
        <w:rPr>
          <w:szCs w:val="22"/>
        </w:rPr>
        <w:t>is provided for combustion turbines operating at less than 75% of peak load.   The NO</w:t>
      </w:r>
      <w:r w:rsidRPr="001D6A3A">
        <w:rPr>
          <w:szCs w:val="22"/>
          <w:vertAlign w:val="subscript"/>
        </w:rPr>
        <w:t>X</w:t>
      </w:r>
      <w:r w:rsidRPr="001D6A3A">
        <w:rPr>
          <w:szCs w:val="22"/>
        </w:rPr>
        <w:t xml:space="preserve"> emissions standards under NSPS Subpart KKKK apply at all times; </w:t>
      </w:r>
      <w:r w:rsidR="00AA75A7" w:rsidRPr="001D6A3A">
        <w:rPr>
          <w:szCs w:val="22"/>
        </w:rPr>
        <w:t>therefore,</w:t>
      </w:r>
      <w:r w:rsidRPr="001D6A3A">
        <w:rPr>
          <w:szCs w:val="22"/>
        </w:rPr>
        <w:t xml:space="preserve"> they can provide a useful Secondary BACT backstop during transient operating modes when Primary BACT limits might not be achievable.</w:t>
      </w:r>
    </w:p>
    <w:p w:rsidR="0077110B" w:rsidRPr="0077110B" w:rsidRDefault="0077110B" w:rsidP="0088130C">
      <w:pPr>
        <w:pStyle w:val="BodyText2"/>
        <w:widowControl w:val="0"/>
        <w:jc w:val="left"/>
        <w:rPr>
          <w:szCs w:val="22"/>
        </w:rPr>
      </w:pPr>
      <w:r w:rsidRPr="0077110B">
        <w:rPr>
          <w:szCs w:val="22"/>
        </w:rPr>
        <w:t>The applicant proposes the following BACT determination for the control of NO</w:t>
      </w:r>
      <w:r w:rsidRPr="0077110B">
        <w:rPr>
          <w:szCs w:val="22"/>
          <w:vertAlign w:val="subscript"/>
        </w:rPr>
        <w:t>X</w:t>
      </w:r>
      <w:r w:rsidR="002C4494">
        <w:rPr>
          <w:szCs w:val="22"/>
        </w:rPr>
        <w:t xml:space="preserve"> emissions for the </w:t>
      </w:r>
      <w:r w:rsidRPr="0077110B">
        <w:rPr>
          <w:szCs w:val="22"/>
        </w:rPr>
        <w:t xml:space="preserve">proposed </w:t>
      </w:r>
      <w:r>
        <w:rPr>
          <w:szCs w:val="22"/>
        </w:rPr>
        <w:t>CTG</w:t>
      </w:r>
      <w:r w:rsidRPr="0077110B">
        <w:rPr>
          <w:szCs w:val="22"/>
        </w:rPr>
        <w:t>:</w:t>
      </w:r>
    </w:p>
    <w:p w:rsidR="0077110B" w:rsidRPr="0077110B" w:rsidRDefault="0077110B" w:rsidP="00511976">
      <w:pPr>
        <w:pStyle w:val="BodyText2"/>
        <w:widowControl w:val="0"/>
        <w:spacing w:before="60"/>
        <w:rPr>
          <w:szCs w:val="22"/>
        </w:rPr>
      </w:pPr>
      <w:r w:rsidRPr="0077110B">
        <w:rPr>
          <w:szCs w:val="22"/>
        </w:rPr>
        <w:t>•</w:t>
      </w:r>
      <w:r w:rsidRPr="0077110B">
        <w:rPr>
          <w:szCs w:val="22"/>
        </w:rPr>
        <w:tab/>
        <w:t>NO</w:t>
      </w:r>
      <w:r w:rsidRPr="0077110B">
        <w:rPr>
          <w:szCs w:val="22"/>
          <w:vertAlign w:val="subscript"/>
        </w:rPr>
        <w:t>X</w:t>
      </w:r>
      <w:r w:rsidRPr="0077110B">
        <w:rPr>
          <w:szCs w:val="22"/>
        </w:rPr>
        <w:t xml:space="preserve"> emissions will be controlled using </w:t>
      </w:r>
      <w:r>
        <w:rPr>
          <w:szCs w:val="22"/>
        </w:rPr>
        <w:t xml:space="preserve">DLN combustors </w:t>
      </w:r>
      <w:r w:rsidR="00A64650">
        <w:rPr>
          <w:szCs w:val="22"/>
        </w:rPr>
        <w:t>and SCR;</w:t>
      </w:r>
    </w:p>
    <w:p w:rsidR="0077110B" w:rsidRPr="0077110B" w:rsidRDefault="0077110B" w:rsidP="00511976">
      <w:pPr>
        <w:pStyle w:val="BodyText2"/>
        <w:widowControl w:val="0"/>
        <w:spacing w:before="60"/>
        <w:rPr>
          <w:szCs w:val="22"/>
        </w:rPr>
      </w:pPr>
      <w:r w:rsidRPr="0077110B">
        <w:rPr>
          <w:szCs w:val="22"/>
        </w:rPr>
        <w:t>•</w:t>
      </w:r>
      <w:r w:rsidRPr="0077110B">
        <w:rPr>
          <w:szCs w:val="22"/>
        </w:rPr>
        <w:tab/>
        <w:t>NO</w:t>
      </w:r>
      <w:r w:rsidRPr="00DC4D90">
        <w:rPr>
          <w:szCs w:val="22"/>
          <w:vertAlign w:val="subscript"/>
        </w:rPr>
        <w:t>X</w:t>
      </w:r>
      <w:r w:rsidRPr="0077110B">
        <w:rPr>
          <w:szCs w:val="22"/>
        </w:rPr>
        <w:t xml:space="preserve"> emissions shall be limited to 2.0 ppmvd </w:t>
      </w:r>
      <w:r w:rsidR="00DC4D90">
        <w:rPr>
          <w:szCs w:val="22"/>
        </w:rPr>
        <w:t xml:space="preserve">at </w:t>
      </w:r>
      <w:r w:rsidRPr="0077110B">
        <w:rPr>
          <w:szCs w:val="22"/>
        </w:rPr>
        <w:t>15% O</w:t>
      </w:r>
      <w:r w:rsidRPr="00DC4D90">
        <w:rPr>
          <w:szCs w:val="22"/>
          <w:vertAlign w:val="subscript"/>
        </w:rPr>
        <w:t>2</w:t>
      </w:r>
      <w:r w:rsidRPr="0077110B">
        <w:rPr>
          <w:szCs w:val="22"/>
        </w:rPr>
        <w:t xml:space="preserve"> as BACT on a 24-hour block average basis;</w:t>
      </w:r>
    </w:p>
    <w:p w:rsidR="0077110B" w:rsidRPr="0077110B" w:rsidRDefault="0077110B" w:rsidP="00511976">
      <w:pPr>
        <w:pStyle w:val="BodyText2"/>
        <w:widowControl w:val="0"/>
        <w:tabs>
          <w:tab w:val="left" w:pos="360"/>
        </w:tabs>
        <w:spacing w:before="60"/>
        <w:ind w:left="360" w:hanging="360"/>
        <w:jc w:val="left"/>
        <w:rPr>
          <w:szCs w:val="22"/>
        </w:rPr>
      </w:pPr>
      <w:r w:rsidRPr="0077110B">
        <w:rPr>
          <w:szCs w:val="22"/>
        </w:rPr>
        <w:t>•</w:t>
      </w:r>
      <w:r w:rsidRPr="0077110B">
        <w:rPr>
          <w:szCs w:val="22"/>
        </w:rPr>
        <w:tab/>
      </w:r>
      <w:r w:rsidR="00A52808" w:rsidRPr="00A52808">
        <w:rPr>
          <w:szCs w:val="22"/>
        </w:rPr>
        <w:t xml:space="preserve">During startups, shutdowns, </w:t>
      </w:r>
      <w:r w:rsidR="00C904B7">
        <w:rPr>
          <w:szCs w:val="22"/>
        </w:rPr>
        <w:t xml:space="preserve">SCR tuning, </w:t>
      </w:r>
      <w:r w:rsidR="00A52808" w:rsidRPr="00A52808">
        <w:rPr>
          <w:szCs w:val="22"/>
        </w:rPr>
        <w:t>DLN tuning and malfunctions, the Secondary BACT limit, rather than the Primary BACT limits above, applies.  The Secondary BACT limit is equal to the NSPS Subpart KKKK limit.  Demonstrating compliance with the NSPS Subpart KKKK limit shall be sufficient for demonstrating compliance with the Secondary BACT limit during such transient modes of operation</w:t>
      </w:r>
      <w:r w:rsidRPr="00A52808">
        <w:rPr>
          <w:szCs w:val="22"/>
        </w:rPr>
        <w:t xml:space="preserve">.  </w:t>
      </w:r>
    </w:p>
    <w:p w:rsidR="0077110B" w:rsidRPr="0077110B" w:rsidRDefault="0077110B" w:rsidP="00511976">
      <w:pPr>
        <w:pStyle w:val="BodyText2"/>
        <w:widowControl w:val="0"/>
        <w:spacing w:before="60"/>
        <w:rPr>
          <w:szCs w:val="22"/>
        </w:rPr>
      </w:pPr>
      <w:r w:rsidRPr="0077110B">
        <w:rPr>
          <w:szCs w:val="22"/>
        </w:rPr>
        <w:t>•</w:t>
      </w:r>
      <w:r w:rsidRPr="0077110B">
        <w:rPr>
          <w:szCs w:val="22"/>
        </w:rPr>
        <w:tab/>
      </w:r>
      <w:r w:rsidR="00046B0F">
        <w:rPr>
          <w:szCs w:val="22"/>
        </w:rPr>
        <w:t>Duct firing shall be limited to 4,000 hours per year</w:t>
      </w:r>
      <w:r w:rsidRPr="0077110B">
        <w:rPr>
          <w:szCs w:val="22"/>
        </w:rPr>
        <w:t>; and</w:t>
      </w:r>
    </w:p>
    <w:p w:rsidR="00954C4D" w:rsidRDefault="0077110B" w:rsidP="00935520">
      <w:pPr>
        <w:pStyle w:val="BodyText2"/>
        <w:widowControl w:val="0"/>
        <w:numPr>
          <w:ilvl w:val="0"/>
          <w:numId w:val="0"/>
        </w:numPr>
        <w:jc w:val="left"/>
        <w:rPr>
          <w:szCs w:val="22"/>
        </w:rPr>
      </w:pPr>
      <w:r w:rsidRPr="0077110B">
        <w:rPr>
          <w:szCs w:val="22"/>
        </w:rPr>
        <w:t>•</w:t>
      </w:r>
      <w:r w:rsidRPr="0077110B">
        <w:rPr>
          <w:szCs w:val="22"/>
        </w:rPr>
        <w:tab/>
        <w:t>Compliance shown by a NO</w:t>
      </w:r>
      <w:r w:rsidRPr="00046B0F">
        <w:rPr>
          <w:szCs w:val="22"/>
          <w:vertAlign w:val="subscript"/>
        </w:rPr>
        <w:t>X</w:t>
      </w:r>
      <w:r w:rsidRPr="0077110B">
        <w:rPr>
          <w:szCs w:val="22"/>
        </w:rPr>
        <w:t xml:space="preserve"> continuous emissions monitoring system (CEMS).</w:t>
      </w:r>
    </w:p>
    <w:p w:rsidR="005F7F5E" w:rsidRDefault="005F7F5E" w:rsidP="00935520">
      <w:pPr>
        <w:pStyle w:val="BodyText2"/>
        <w:widowControl w:val="0"/>
        <w:numPr>
          <w:ilvl w:val="0"/>
          <w:numId w:val="0"/>
        </w:numPr>
        <w:jc w:val="left"/>
        <w:rPr>
          <w:szCs w:val="22"/>
        </w:rPr>
      </w:pPr>
      <w:r>
        <w:rPr>
          <w:szCs w:val="22"/>
        </w:rPr>
        <w:t xml:space="preserve">The </w:t>
      </w:r>
      <w:r w:rsidR="00313E2B">
        <w:rPr>
          <w:szCs w:val="22"/>
        </w:rPr>
        <w:t xml:space="preserve">RBLC was also referenced for previous BACT determinations to similar projects.  </w:t>
      </w:r>
      <w:r w:rsidR="001D0226" w:rsidRPr="001D0226">
        <w:rPr>
          <w:rFonts w:ascii="Times New Roman Bold" w:hAnsi="Times New Roman Bold"/>
          <w:b/>
          <w:szCs w:val="22"/>
        </w:rPr>
        <w:fldChar w:fldCharType="begin"/>
      </w:r>
      <w:r w:rsidR="001D0226" w:rsidRPr="001D0226">
        <w:rPr>
          <w:rFonts w:ascii="Times New Roman Bold" w:hAnsi="Times New Roman Bold"/>
          <w:b/>
          <w:szCs w:val="22"/>
        </w:rPr>
        <w:instrText xml:space="preserve"> REF _Ref513617468 \h </w:instrText>
      </w:r>
      <w:r w:rsidR="001D0226">
        <w:rPr>
          <w:rFonts w:ascii="Times New Roman Bold" w:hAnsi="Times New Roman Bold"/>
          <w:b/>
          <w:szCs w:val="22"/>
        </w:rPr>
        <w:instrText xml:space="preserve"> \* MERGEFORMAT </w:instrText>
      </w:r>
      <w:r w:rsidR="001D0226" w:rsidRPr="001D0226">
        <w:rPr>
          <w:rFonts w:ascii="Times New Roman Bold" w:hAnsi="Times New Roman Bold"/>
          <w:b/>
          <w:szCs w:val="22"/>
        </w:rPr>
      </w:r>
      <w:r w:rsidR="001D0226" w:rsidRPr="001D0226">
        <w:rPr>
          <w:rFonts w:ascii="Times New Roman Bold" w:hAnsi="Times New Roman Bold"/>
          <w:b/>
          <w:szCs w:val="22"/>
        </w:rPr>
        <w:fldChar w:fldCharType="separate"/>
      </w:r>
      <w:r w:rsidR="003E3FA4" w:rsidRPr="003E3FA4">
        <w:rPr>
          <w:rFonts w:ascii="Times New Roman Bold" w:hAnsi="Times New Roman Bold"/>
          <w:b/>
        </w:rPr>
        <w:t xml:space="preserve">Table </w:t>
      </w:r>
      <w:r w:rsidR="003E3FA4" w:rsidRPr="003E3FA4">
        <w:rPr>
          <w:rFonts w:ascii="Times New Roman Bold" w:hAnsi="Times New Roman Bold"/>
          <w:b/>
          <w:noProof/>
        </w:rPr>
        <w:t>6</w:t>
      </w:r>
      <w:r w:rsidR="001D0226" w:rsidRPr="001D0226">
        <w:rPr>
          <w:rFonts w:ascii="Times New Roman Bold" w:hAnsi="Times New Roman Bold"/>
          <w:b/>
          <w:szCs w:val="22"/>
        </w:rPr>
        <w:fldChar w:fldCharType="end"/>
      </w:r>
      <w:r w:rsidR="001D0226">
        <w:rPr>
          <w:szCs w:val="22"/>
        </w:rPr>
        <w:t xml:space="preserve"> </w:t>
      </w:r>
      <w:r w:rsidR="00313E2B">
        <w:rPr>
          <w:szCs w:val="22"/>
        </w:rPr>
        <w:t>provides a list of emissions standards</w:t>
      </w:r>
      <w:r w:rsidR="0048269A">
        <w:rPr>
          <w:szCs w:val="22"/>
        </w:rPr>
        <w:t>,</w:t>
      </w:r>
      <w:r w:rsidR="00313E2B">
        <w:rPr>
          <w:szCs w:val="22"/>
        </w:rPr>
        <w:t xml:space="preserve"> along with the selected control technologies</w:t>
      </w:r>
      <w:r w:rsidR="00A34717">
        <w:rPr>
          <w:szCs w:val="22"/>
        </w:rPr>
        <w:t>, for limiting emissions of NO</w:t>
      </w:r>
      <w:r w:rsidR="00A34717" w:rsidRPr="00A34717">
        <w:rPr>
          <w:szCs w:val="22"/>
          <w:vertAlign w:val="subscript"/>
        </w:rPr>
        <w:t>X</w:t>
      </w:r>
      <w:r w:rsidR="00A34717">
        <w:rPr>
          <w:szCs w:val="22"/>
        </w:rPr>
        <w:t>.</w:t>
      </w:r>
    </w:p>
    <w:p w:rsidR="000C1A47" w:rsidRDefault="001D0226" w:rsidP="001D0226">
      <w:pPr>
        <w:pStyle w:val="Caption"/>
        <w:spacing w:before="0"/>
        <w:jc w:val="center"/>
      </w:pPr>
      <w:bookmarkStart w:id="27" w:name="_Ref513617468"/>
      <w:r>
        <w:t xml:space="preserve">Table </w:t>
      </w:r>
      <w:fldSimple w:instr=" SEQ Table \* ARABIC ">
        <w:r w:rsidR="007204D0">
          <w:rPr>
            <w:noProof/>
          </w:rPr>
          <w:t>6</w:t>
        </w:r>
      </w:fldSimple>
      <w:bookmarkEnd w:id="27"/>
      <w:r>
        <w:t xml:space="preserve"> - </w:t>
      </w:r>
      <w:r w:rsidR="000C1A47">
        <w:rPr>
          <w:szCs w:val="22"/>
        </w:rPr>
        <w:t xml:space="preserve">RBLC BACT Determinations </w:t>
      </w:r>
      <w:r w:rsidR="000C1A47" w:rsidRPr="00C07663">
        <w:rPr>
          <w:szCs w:val="22"/>
        </w:rPr>
        <w:t>for NO</w:t>
      </w:r>
      <w:r w:rsidR="000C1A47" w:rsidRPr="00C07663">
        <w:rPr>
          <w:szCs w:val="22"/>
          <w:vertAlign w:val="subscript"/>
        </w:rPr>
        <w:t>X</w:t>
      </w:r>
      <w:r w:rsidR="000C1A47" w:rsidRPr="00C07663">
        <w:rPr>
          <w:szCs w:val="22"/>
        </w:rPr>
        <w:t xml:space="preserve"> for Natural</w:t>
      </w:r>
      <w:r w:rsidR="000C1A47">
        <w:rPr>
          <w:szCs w:val="22"/>
        </w:rPr>
        <w:t xml:space="preserve"> Gas-Fired Combustion Turbines.</w:t>
      </w:r>
    </w:p>
    <w:tbl>
      <w:tblPr>
        <w:tblStyle w:val="TableGrid"/>
        <w:tblW w:w="0" w:type="auto"/>
        <w:tblInd w:w="108" w:type="dxa"/>
        <w:tblLook w:val="04A0" w:firstRow="1" w:lastRow="0" w:firstColumn="1" w:lastColumn="0" w:noHBand="0" w:noVBand="1"/>
      </w:tblPr>
      <w:tblGrid>
        <w:gridCol w:w="1152"/>
        <w:gridCol w:w="1128"/>
        <w:gridCol w:w="1580"/>
        <w:gridCol w:w="1609"/>
        <w:gridCol w:w="1311"/>
        <w:gridCol w:w="1242"/>
        <w:gridCol w:w="1776"/>
      </w:tblGrid>
      <w:tr w:rsidR="00BB042D" w:rsidRPr="00E8321C" w:rsidTr="00BC2A53">
        <w:trPr>
          <w:tblHeader/>
        </w:trPr>
        <w:tc>
          <w:tcPr>
            <w:tcW w:w="1152" w:type="dxa"/>
            <w:tcBorders>
              <w:top w:val="single" w:sz="12" w:space="0" w:color="auto"/>
              <w:left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Pr>
                <w:b/>
                <w:sz w:val="20"/>
              </w:rPr>
              <w:t>RBLC ID</w:t>
            </w:r>
          </w:p>
        </w:tc>
        <w:tc>
          <w:tcPr>
            <w:tcW w:w="1128" w:type="dxa"/>
            <w:tcBorders>
              <w:top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Date</w:t>
            </w:r>
          </w:p>
        </w:tc>
        <w:tc>
          <w:tcPr>
            <w:tcW w:w="1580" w:type="dxa"/>
            <w:tcBorders>
              <w:top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Source Type</w:t>
            </w:r>
          </w:p>
        </w:tc>
        <w:tc>
          <w:tcPr>
            <w:tcW w:w="1609" w:type="dxa"/>
            <w:tcBorders>
              <w:top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Heat Input or MW Rating</w:t>
            </w:r>
          </w:p>
        </w:tc>
        <w:tc>
          <w:tcPr>
            <w:tcW w:w="1311" w:type="dxa"/>
            <w:tcBorders>
              <w:top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Pollutant Limit</w:t>
            </w:r>
          </w:p>
        </w:tc>
        <w:tc>
          <w:tcPr>
            <w:tcW w:w="1242" w:type="dxa"/>
            <w:tcBorders>
              <w:top w:val="single" w:sz="12" w:space="0" w:color="auto"/>
              <w:bottom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Averaging Period</w:t>
            </w:r>
          </w:p>
        </w:tc>
        <w:tc>
          <w:tcPr>
            <w:tcW w:w="1776" w:type="dxa"/>
            <w:tcBorders>
              <w:top w:val="single" w:sz="12" w:space="0" w:color="auto"/>
              <w:bottom w:val="single" w:sz="12" w:space="0" w:color="auto"/>
              <w:right w:val="single" w:sz="12" w:space="0" w:color="auto"/>
            </w:tcBorders>
            <w:shd w:val="clear" w:color="auto" w:fill="B8CCE4" w:themeFill="accent1" w:themeFillTint="66"/>
            <w:vAlign w:val="center"/>
          </w:tcPr>
          <w:p w:rsidR="00BB042D" w:rsidRPr="00E8321C" w:rsidRDefault="00BB042D" w:rsidP="00A8469F">
            <w:pPr>
              <w:pStyle w:val="BodyText2"/>
              <w:widowControl w:val="0"/>
              <w:numPr>
                <w:ilvl w:val="0"/>
                <w:numId w:val="0"/>
              </w:numPr>
              <w:spacing w:after="0"/>
              <w:jc w:val="center"/>
              <w:rPr>
                <w:b/>
                <w:sz w:val="20"/>
              </w:rPr>
            </w:pPr>
            <w:r w:rsidRPr="00E8321C">
              <w:rPr>
                <w:b/>
                <w:sz w:val="20"/>
              </w:rPr>
              <w:t>Control Method</w:t>
            </w:r>
          </w:p>
        </w:tc>
      </w:tr>
      <w:tr w:rsidR="00BB042D" w:rsidRPr="00E8321C" w:rsidTr="002049B1">
        <w:trPr>
          <w:trHeight w:val="537"/>
        </w:trPr>
        <w:tc>
          <w:tcPr>
            <w:tcW w:w="1152" w:type="dxa"/>
            <w:tcBorders>
              <w:lef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FL-0356</w:t>
            </w:r>
          </w:p>
        </w:tc>
        <w:tc>
          <w:tcPr>
            <w:tcW w:w="1128" w:type="dxa"/>
            <w:vAlign w:val="center"/>
          </w:tcPr>
          <w:p w:rsidR="00BB042D" w:rsidRPr="00E8321C" w:rsidRDefault="00BB042D" w:rsidP="00A8469F">
            <w:pPr>
              <w:pStyle w:val="BodyText2"/>
              <w:widowControl w:val="0"/>
              <w:numPr>
                <w:ilvl w:val="0"/>
                <w:numId w:val="0"/>
              </w:numPr>
              <w:spacing w:after="0"/>
              <w:jc w:val="center"/>
              <w:rPr>
                <w:sz w:val="20"/>
              </w:rPr>
            </w:pPr>
            <w:r>
              <w:rPr>
                <w:sz w:val="20"/>
              </w:rPr>
              <w:t>03/09/2016</w:t>
            </w:r>
          </w:p>
        </w:tc>
        <w:tc>
          <w:tcPr>
            <w:tcW w:w="1580" w:type="dxa"/>
            <w:vAlign w:val="center"/>
          </w:tcPr>
          <w:p w:rsidR="00BB042D" w:rsidRPr="00E8321C" w:rsidRDefault="00BB042D" w:rsidP="00A8469F">
            <w:pPr>
              <w:pStyle w:val="BodyText2"/>
              <w:widowControl w:val="0"/>
              <w:numPr>
                <w:ilvl w:val="0"/>
                <w:numId w:val="0"/>
              </w:numPr>
              <w:spacing w:after="0"/>
              <w:jc w:val="center"/>
              <w:rPr>
                <w:sz w:val="20"/>
              </w:rPr>
            </w:pPr>
            <w:r w:rsidRPr="00E8321C">
              <w:rPr>
                <w:sz w:val="20"/>
              </w:rPr>
              <w:t>3-on-1 CCCT with HRSG</w:t>
            </w:r>
          </w:p>
        </w:tc>
        <w:tc>
          <w:tcPr>
            <w:tcW w:w="1609" w:type="dxa"/>
            <w:vAlign w:val="center"/>
          </w:tcPr>
          <w:p w:rsidR="00BB042D" w:rsidRPr="00E8321C" w:rsidRDefault="00BB042D" w:rsidP="00A8469F">
            <w:pPr>
              <w:pStyle w:val="BodyText2"/>
              <w:widowControl w:val="0"/>
              <w:numPr>
                <w:ilvl w:val="0"/>
                <w:numId w:val="0"/>
              </w:numPr>
              <w:spacing w:after="0"/>
              <w:jc w:val="center"/>
              <w:rPr>
                <w:sz w:val="20"/>
              </w:rPr>
            </w:pPr>
            <w:r w:rsidRPr="00E8321C">
              <w:rPr>
                <w:sz w:val="20"/>
              </w:rPr>
              <w:t>3,096 MMBtu/hour</w:t>
            </w:r>
          </w:p>
        </w:tc>
        <w:tc>
          <w:tcPr>
            <w:tcW w:w="1311" w:type="dxa"/>
            <w:vMerge w:val="restart"/>
            <w:vAlign w:val="center"/>
          </w:tcPr>
          <w:p w:rsidR="00BB042D" w:rsidRPr="006979E6" w:rsidRDefault="00BB042D" w:rsidP="00A8469F">
            <w:pPr>
              <w:pStyle w:val="BodyText2"/>
              <w:widowControl w:val="0"/>
              <w:numPr>
                <w:ilvl w:val="0"/>
                <w:numId w:val="0"/>
              </w:numPr>
              <w:spacing w:after="0"/>
              <w:jc w:val="center"/>
              <w:rPr>
                <w:sz w:val="20"/>
              </w:rPr>
            </w:pPr>
            <w:r>
              <w:rPr>
                <w:sz w:val="20"/>
              </w:rPr>
              <w:t>2.0 ppmvd @ 15%O</w:t>
            </w:r>
            <w:r>
              <w:rPr>
                <w:sz w:val="20"/>
                <w:vertAlign w:val="subscript"/>
              </w:rPr>
              <w:t>2</w:t>
            </w:r>
          </w:p>
        </w:tc>
        <w:tc>
          <w:tcPr>
            <w:tcW w:w="1242" w:type="dxa"/>
            <w:vMerge w:val="restart"/>
            <w:vAlign w:val="center"/>
          </w:tcPr>
          <w:p w:rsidR="00BB042D" w:rsidRPr="00E8321C" w:rsidRDefault="00BB042D" w:rsidP="00A8469F">
            <w:pPr>
              <w:pStyle w:val="BodyText2"/>
              <w:widowControl w:val="0"/>
              <w:numPr>
                <w:ilvl w:val="0"/>
                <w:numId w:val="0"/>
              </w:numPr>
              <w:spacing w:after="0"/>
              <w:jc w:val="center"/>
              <w:rPr>
                <w:sz w:val="20"/>
              </w:rPr>
            </w:pPr>
            <w:r>
              <w:rPr>
                <w:sz w:val="20"/>
              </w:rPr>
              <w:t>24-hr block average CEMS</w:t>
            </w:r>
          </w:p>
        </w:tc>
        <w:tc>
          <w:tcPr>
            <w:tcW w:w="1776" w:type="dxa"/>
            <w:vMerge w:val="restart"/>
            <w:tcBorders>
              <w:righ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DLN, SCR, WI</w:t>
            </w:r>
          </w:p>
        </w:tc>
      </w:tr>
      <w:tr w:rsidR="00BB042D" w:rsidRPr="00E8321C" w:rsidTr="002049B1">
        <w:trPr>
          <w:trHeight w:val="620"/>
        </w:trPr>
        <w:tc>
          <w:tcPr>
            <w:tcW w:w="1152" w:type="dxa"/>
            <w:tcBorders>
              <w:left w:val="single" w:sz="12" w:space="0" w:color="auto"/>
            </w:tcBorders>
            <w:vAlign w:val="center"/>
          </w:tcPr>
          <w:p w:rsidR="00BB042D" w:rsidRPr="009617AE" w:rsidRDefault="00BB042D" w:rsidP="00A8469F">
            <w:pPr>
              <w:pStyle w:val="BodyText2"/>
              <w:widowControl w:val="0"/>
              <w:numPr>
                <w:ilvl w:val="0"/>
                <w:numId w:val="0"/>
              </w:numPr>
              <w:spacing w:after="0"/>
              <w:jc w:val="center"/>
              <w:rPr>
                <w:b/>
                <w:sz w:val="20"/>
                <w:vertAlign w:val="superscript"/>
              </w:rPr>
            </w:pPr>
            <w:r>
              <w:rPr>
                <w:sz w:val="20"/>
              </w:rPr>
              <w:t>FL-0363</w:t>
            </w:r>
            <w:r w:rsidR="009110D9" w:rsidRPr="002E0861">
              <w:rPr>
                <w:sz w:val="20"/>
                <w:vertAlign w:val="superscript"/>
              </w:rPr>
              <w:t xml:space="preserve"> </w:t>
            </w:r>
            <w:r w:rsidR="002E0861" w:rsidRPr="002E0861">
              <w:rPr>
                <w:b/>
                <w:vertAlign w:val="superscript"/>
              </w:rPr>
              <w:fldChar w:fldCharType="begin"/>
            </w:r>
            <w:r w:rsidR="002E0861" w:rsidRPr="002E0861">
              <w:rPr>
                <w:sz w:val="20"/>
                <w:vertAlign w:val="superscript"/>
              </w:rPr>
              <w:instrText xml:space="preserve"> REF _Ref515002179 \r \h </w:instrText>
            </w:r>
            <w:r w:rsidR="002E0861">
              <w:rPr>
                <w:b/>
                <w:vertAlign w:val="superscript"/>
              </w:rPr>
              <w:instrText xml:space="preserve"> \* MERGEFORMAT </w:instrText>
            </w:r>
            <w:r w:rsidR="002E0861" w:rsidRPr="002E0861">
              <w:rPr>
                <w:b/>
                <w:vertAlign w:val="superscript"/>
              </w:rPr>
            </w:r>
            <w:r w:rsidR="002E0861" w:rsidRPr="002E0861">
              <w:rPr>
                <w:b/>
                <w:vertAlign w:val="superscript"/>
              </w:rPr>
              <w:fldChar w:fldCharType="separate"/>
            </w:r>
            <w:r w:rsidR="002E0861" w:rsidRPr="002E0861">
              <w:rPr>
                <w:sz w:val="20"/>
                <w:vertAlign w:val="superscript"/>
              </w:rPr>
              <w:t>a</w:t>
            </w:r>
            <w:r w:rsidR="002E0861" w:rsidRPr="002E0861">
              <w:rPr>
                <w:b/>
                <w:vertAlign w:val="superscript"/>
              </w:rPr>
              <w:fldChar w:fldCharType="end"/>
            </w:r>
          </w:p>
        </w:tc>
        <w:tc>
          <w:tcPr>
            <w:tcW w:w="1128" w:type="dxa"/>
            <w:vAlign w:val="center"/>
          </w:tcPr>
          <w:p w:rsidR="00BB042D" w:rsidRPr="00E8321C" w:rsidRDefault="00BB042D" w:rsidP="00A8469F">
            <w:pPr>
              <w:pStyle w:val="BodyText2"/>
              <w:widowControl w:val="0"/>
              <w:numPr>
                <w:ilvl w:val="0"/>
                <w:numId w:val="0"/>
              </w:numPr>
              <w:spacing w:after="0"/>
              <w:jc w:val="center"/>
              <w:rPr>
                <w:sz w:val="20"/>
              </w:rPr>
            </w:pPr>
            <w:r>
              <w:rPr>
                <w:sz w:val="20"/>
              </w:rPr>
              <w:t>12/04/2017</w:t>
            </w:r>
          </w:p>
        </w:tc>
        <w:tc>
          <w:tcPr>
            <w:tcW w:w="1580" w:type="dxa"/>
            <w:vAlign w:val="center"/>
          </w:tcPr>
          <w:p w:rsidR="00BB042D" w:rsidRPr="00E8321C" w:rsidRDefault="00BB042D" w:rsidP="00A8469F">
            <w:pPr>
              <w:pStyle w:val="BodyText2"/>
              <w:widowControl w:val="0"/>
              <w:numPr>
                <w:ilvl w:val="0"/>
                <w:numId w:val="0"/>
              </w:numPr>
              <w:spacing w:after="0"/>
              <w:jc w:val="center"/>
              <w:rPr>
                <w:sz w:val="20"/>
              </w:rPr>
            </w:pPr>
            <w:r>
              <w:rPr>
                <w:sz w:val="20"/>
              </w:rPr>
              <w:t>2-on-1 CCCT with HRSG</w:t>
            </w:r>
          </w:p>
        </w:tc>
        <w:tc>
          <w:tcPr>
            <w:tcW w:w="1609" w:type="dxa"/>
            <w:vAlign w:val="center"/>
          </w:tcPr>
          <w:p w:rsidR="00BB042D" w:rsidRPr="00E8321C" w:rsidRDefault="00BB042D" w:rsidP="00A8469F">
            <w:pPr>
              <w:pStyle w:val="BodyText2"/>
              <w:widowControl w:val="0"/>
              <w:numPr>
                <w:ilvl w:val="0"/>
                <w:numId w:val="0"/>
              </w:numPr>
              <w:spacing w:after="0"/>
              <w:jc w:val="center"/>
              <w:rPr>
                <w:sz w:val="20"/>
              </w:rPr>
            </w:pPr>
            <w:r>
              <w:rPr>
                <w:sz w:val="20"/>
              </w:rPr>
              <w:t>1,200 MW</w:t>
            </w:r>
          </w:p>
        </w:tc>
        <w:tc>
          <w:tcPr>
            <w:tcW w:w="1311" w:type="dxa"/>
            <w:vMerge/>
            <w:vAlign w:val="center"/>
          </w:tcPr>
          <w:p w:rsidR="00BB042D" w:rsidRDefault="00BB042D" w:rsidP="00A8469F">
            <w:pPr>
              <w:pStyle w:val="BodyText2"/>
              <w:widowControl w:val="0"/>
              <w:numPr>
                <w:ilvl w:val="0"/>
                <w:numId w:val="0"/>
              </w:numPr>
              <w:spacing w:after="0"/>
              <w:jc w:val="center"/>
              <w:rPr>
                <w:sz w:val="20"/>
              </w:rPr>
            </w:pPr>
          </w:p>
        </w:tc>
        <w:tc>
          <w:tcPr>
            <w:tcW w:w="1242" w:type="dxa"/>
            <w:vMerge/>
            <w:vAlign w:val="center"/>
          </w:tcPr>
          <w:p w:rsidR="00BB042D" w:rsidRDefault="00BB042D" w:rsidP="00A8469F">
            <w:pPr>
              <w:pStyle w:val="BodyText2"/>
              <w:widowControl w:val="0"/>
              <w:numPr>
                <w:ilvl w:val="0"/>
                <w:numId w:val="0"/>
              </w:numPr>
              <w:spacing w:after="0"/>
              <w:jc w:val="center"/>
              <w:rPr>
                <w:sz w:val="20"/>
              </w:rPr>
            </w:pPr>
          </w:p>
        </w:tc>
        <w:tc>
          <w:tcPr>
            <w:tcW w:w="1776" w:type="dxa"/>
            <w:vMerge/>
            <w:tcBorders>
              <w:right w:val="single" w:sz="12" w:space="0" w:color="auto"/>
            </w:tcBorders>
            <w:vAlign w:val="center"/>
          </w:tcPr>
          <w:p w:rsidR="00BB042D" w:rsidRDefault="00BB042D" w:rsidP="00A8469F">
            <w:pPr>
              <w:pStyle w:val="BodyText2"/>
              <w:widowControl w:val="0"/>
              <w:numPr>
                <w:ilvl w:val="0"/>
                <w:numId w:val="0"/>
              </w:numPr>
              <w:spacing w:after="0"/>
              <w:jc w:val="center"/>
              <w:rPr>
                <w:sz w:val="20"/>
              </w:rPr>
            </w:pPr>
          </w:p>
        </w:tc>
      </w:tr>
      <w:tr w:rsidR="00BB042D" w:rsidRPr="00E8321C" w:rsidTr="002049B1">
        <w:trPr>
          <w:trHeight w:val="863"/>
        </w:trPr>
        <w:tc>
          <w:tcPr>
            <w:tcW w:w="1152" w:type="dxa"/>
            <w:tcBorders>
              <w:lef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GA-0138</w:t>
            </w:r>
          </w:p>
        </w:tc>
        <w:tc>
          <w:tcPr>
            <w:tcW w:w="1128" w:type="dxa"/>
            <w:vAlign w:val="center"/>
          </w:tcPr>
          <w:p w:rsidR="00BB042D" w:rsidRPr="00E8321C" w:rsidRDefault="00BB042D" w:rsidP="00A8469F">
            <w:pPr>
              <w:pStyle w:val="BodyText2"/>
              <w:widowControl w:val="0"/>
              <w:numPr>
                <w:ilvl w:val="0"/>
                <w:numId w:val="0"/>
              </w:numPr>
              <w:spacing w:after="0"/>
              <w:jc w:val="center"/>
              <w:rPr>
                <w:sz w:val="20"/>
              </w:rPr>
            </w:pPr>
            <w:r>
              <w:rPr>
                <w:sz w:val="20"/>
              </w:rPr>
              <w:t>04/08/2010</w:t>
            </w:r>
          </w:p>
        </w:tc>
        <w:tc>
          <w:tcPr>
            <w:tcW w:w="1580" w:type="dxa"/>
            <w:vAlign w:val="center"/>
          </w:tcPr>
          <w:p w:rsidR="00BB042D" w:rsidRPr="00E8321C" w:rsidRDefault="00BB042D" w:rsidP="00A8469F">
            <w:pPr>
              <w:pStyle w:val="BodyText2"/>
              <w:widowControl w:val="0"/>
              <w:numPr>
                <w:ilvl w:val="0"/>
                <w:numId w:val="0"/>
              </w:numPr>
              <w:spacing w:after="0"/>
              <w:jc w:val="center"/>
              <w:rPr>
                <w:sz w:val="20"/>
              </w:rPr>
            </w:pPr>
            <w:r w:rsidRPr="00E8321C">
              <w:rPr>
                <w:sz w:val="20"/>
              </w:rPr>
              <w:t>2-on-1 CCCT with HRSG</w:t>
            </w:r>
          </w:p>
        </w:tc>
        <w:tc>
          <w:tcPr>
            <w:tcW w:w="1609" w:type="dxa"/>
            <w:vAlign w:val="center"/>
          </w:tcPr>
          <w:p w:rsidR="00BB042D" w:rsidRPr="00E8321C" w:rsidRDefault="00BB042D" w:rsidP="00A8469F">
            <w:pPr>
              <w:pStyle w:val="BodyText2"/>
              <w:widowControl w:val="0"/>
              <w:numPr>
                <w:ilvl w:val="0"/>
                <w:numId w:val="0"/>
              </w:numPr>
              <w:spacing w:after="0"/>
              <w:jc w:val="center"/>
              <w:rPr>
                <w:sz w:val="20"/>
              </w:rPr>
            </w:pPr>
            <w:r w:rsidRPr="00E8321C">
              <w:rPr>
                <w:sz w:val="20"/>
              </w:rPr>
              <w:t>600 MW</w:t>
            </w:r>
          </w:p>
        </w:tc>
        <w:tc>
          <w:tcPr>
            <w:tcW w:w="1311" w:type="dxa"/>
            <w:vAlign w:val="center"/>
          </w:tcPr>
          <w:p w:rsidR="00BB042D" w:rsidRPr="0005400C" w:rsidRDefault="00BB042D" w:rsidP="00A8469F">
            <w:pPr>
              <w:pStyle w:val="BodyText2"/>
              <w:widowControl w:val="0"/>
              <w:numPr>
                <w:ilvl w:val="0"/>
                <w:numId w:val="0"/>
              </w:numPr>
              <w:spacing w:after="0"/>
              <w:jc w:val="center"/>
              <w:rPr>
                <w:sz w:val="20"/>
                <w:vertAlign w:val="subscript"/>
              </w:rPr>
            </w:pPr>
            <w:r>
              <w:rPr>
                <w:sz w:val="20"/>
              </w:rPr>
              <w:t>2.5 ppmvd @ 15 O</w:t>
            </w:r>
            <w:r>
              <w:rPr>
                <w:sz w:val="20"/>
                <w:vertAlign w:val="subscript"/>
              </w:rPr>
              <w:t>2</w:t>
            </w:r>
          </w:p>
        </w:tc>
        <w:tc>
          <w:tcPr>
            <w:tcW w:w="1242" w:type="dxa"/>
            <w:vAlign w:val="center"/>
          </w:tcPr>
          <w:p w:rsidR="00BB042D" w:rsidRPr="00E8321C" w:rsidRDefault="00BB042D" w:rsidP="00A8469F">
            <w:pPr>
              <w:pStyle w:val="BodyText2"/>
              <w:widowControl w:val="0"/>
              <w:numPr>
                <w:ilvl w:val="0"/>
                <w:numId w:val="0"/>
              </w:numPr>
              <w:spacing w:after="0"/>
              <w:jc w:val="center"/>
              <w:rPr>
                <w:sz w:val="20"/>
              </w:rPr>
            </w:pPr>
            <w:r>
              <w:rPr>
                <w:sz w:val="20"/>
              </w:rPr>
              <w:t>3-hr rolling average CEMS</w:t>
            </w:r>
          </w:p>
        </w:tc>
        <w:tc>
          <w:tcPr>
            <w:tcW w:w="1776" w:type="dxa"/>
            <w:tcBorders>
              <w:righ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DLN, SCR</w:t>
            </w:r>
          </w:p>
        </w:tc>
      </w:tr>
      <w:tr w:rsidR="00BB042D" w:rsidRPr="00E8321C" w:rsidTr="000C1A47">
        <w:tc>
          <w:tcPr>
            <w:tcW w:w="1152" w:type="dxa"/>
            <w:tcBorders>
              <w:lef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NJ-0085</w:t>
            </w:r>
          </w:p>
        </w:tc>
        <w:tc>
          <w:tcPr>
            <w:tcW w:w="1128" w:type="dxa"/>
            <w:vAlign w:val="center"/>
          </w:tcPr>
          <w:p w:rsidR="00BB042D" w:rsidRPr="00E8321C" w:rsidRDefault="00BB042D" w:rsidP="00A8469F">
            <w:pPr>
              <w:pStyle w:val="BodyText2"/>
              <w:widowControl w:val="0"/>
              <w:numPr>
                <w:ilvl w:val="0"/>
                <w:numId w:val="0"/>
              </w:numPr>
              <w:spacing w:after="0"/>
              <w:jc w:val="center"/>
              <w:rPr>
                <w:sz w:val="20"/>
              </w:rPr>
            </w:pPr>
            <w:r>
              <w:rPr>
                <w:sz w:val="20"/>
              </w:rPr>
              <w:t>07/19/2016</w:t>
            </w:r>
          </w:p>
        </w:tc>
        <w:tc>
          <w:tcPr>
            <w:tcW w:w="1580" w:type="dxa"/>
            <w:vAlign w:val="center"/>
          </w:tcPr>
          <w:p w:rsidR="00BB042D" w:rsidRPr="00E8321C" w:rsidRDefault="00BB042D" w:rsidP="00A8469F">
            <w:pPr>
              <w:pStyle w:val="BodyText2"/>
              <w:widowControl w:val="0"/>
              <w:numPr>
                <w:ilvl w:val="0"/>
                <w:numId w:val="0"/>
              </w:numPr>
              <w:spacing w:after="0"/>
              <w:jc w:val="center"/>
              <w:rPr>
                <w:sz w:val="20"/>
              </w:rPr>
            </w:pPr>
            <w:r>
              <w:rPr>
                <w:sz w:val="20"/>
              </w:rPr>
              <w:t>1-on-1 CCCT with HRSG</w:t>
            </w:r>
          </w:p>
        </w:tc>
        <w:tc>
          <w:tcPr>
            <w:tcW w:w="1609" w:type="dxa"/>
            <w:vAlign w:val="center"/>
          </w:tcPr>
          <w:p w:rsidR="00BB042D" w:rsidRPr="00E8321C" w:rsidRDefault="00BB042D" w:rsidP="00A8469F">
            <w:pPr>
              <w:pStyle w:val="BodyText2"/>
              <w:widowControl w:val="0"/>
              <w:numPr>
                <w:ilvl w:val="0"/>
                <w:numId w:val="0"/>
              </w:numPr>
              <w:spacing w:after="0"/>
              <w:jc w:val="center"/>
              <w:rPr>
                <w:sz w:val="20"/>
              </w:rPr>
            </w:pPr>
            <w:r>
              <w:rPr>
                <w:sz w:val="20"/>
              </w:rPr>
              <w:t>633 MW</w:t>
            </w:r>
          </w:p>
        </w:tc>
        <w:tc>
          <w:tcPr>
            <w:tcW w:w="1311" w:type="dxa"/>
            <w:vAlign w:val="center"/>
          </w:tcPr>
          <w:p w:rsidR="00BB042D" w:rsidRPr="00DB3C8D" w:rsidRDefault="00BB042D" w:rsidP="00A8469F">
            <w:pPr>
              <w:pStyle w:val="BodyText2"/>
              <w:widowControl w:val="0"/>
              <w:numPr>
                <w:ilvl w:val="0"/>
                <w:numId w:val="0"/>
              </w:numPr>
              <w:spacing w:after="0"/>
              <w:jc w:val="center"/>
              <w:rPr>
                <w:b/>
                <w:sz w:val="20"/>
                <w:vertAlign w:val="superscript"/>
              </w:rPr>
            </w:pPr>
            <w:r>
              <w:rPr>
                <w:sz w:val="20"/>
              </w:rPr>
              <w:t>2.0 ppmvd @ 15% O</w:t>
            </w:r>
            <w:r>
              <w:rPr>
                <w:sz w:val="20"/>
                <w:vertAlign w:val="subscript"/>
              </w:rPr>
              <w:t>2</w:t>
            </w:r>
            <w:r w:rsidR="009110D9">
              <w:rPr>
                <w:b/>
                <w:sz w:val="24"/>
                <w:szCs w:val="24"/>
                <w:vertAlign w:val="superscript"/>
              </w:rPr>
              <w:t xml:space="preserve"> </w:t>
            </w:r>
            <w:r w:rsidR="009110D9">
              <w:rPr>
                <w:b/>
                <w:sz w:val="24"/>
                <w:szCs w:val="24"/>
                <w:vertAlign w:val="superscript"/>
              </w:rPr>
              <w:fldChar w:fldCharType="begin"/>
            </w:r>
            <w:r w:rsidR="009110D9">
              <w:rPr>
                <w:b/>
                <w:sz w:val="24"/>
                <w:szCs w:val="24"/>
                <w:vertAlign w:val="superscript"/>
              </w:rPr>
              <w:instrText xml:space="preserve"> REF _Ref511304197 \r \h </w:instrText>
            </w:r>
            <w:r w:rsidR="009110D9">
              <w:rPr>
                <w:b/>
                <w:sz w:val="24"/>
                <w:szCs w:val="24"/>
                <w:vertAlign w:val="superscript"/>
              </w:rPr>
            </w:r>
            <w:r w:rsidR="009110D9">
              <w:rPr>
                <w:b/>
                <w:sz w:val="24"/>
                <w:szCs w:val="24"/>
                <w:vertAlign w:val="superscript"/>
              </w:rPr>
              <w:fldChar w:fldCharType="separate"/>
            </w:r>
            <w:r w:rsidR="003E3FA4">
              <w:rPr>
                <w:b/>
                <w:sz w:val="24"/>
                <w:szCs w:val="24"/>
                <w:vertAlign w:val="superscript"/>
              </w:rPr>
              <w:t>b</w:t>
            </w:r>
            <w:r w:rsidR="009110D9">
              <w:rPr>
                <w:b/>
                <w:sz w:val="24"/>
                <w:szCs w:val="24"/>
                <w:vertAlign w:val="superscript"/>
              </w:rPr>
              <w:fldChar w:fldCharType="end"/>
            </w:r>
          </w:p>
        </w:tc>
        <w:tc>
          <w:tcPr>
            <w:tcW w:w="1242" w:type="dxa"/>
            <w:vAlign w:val="center"/>
          </w:tcPr>
          <w:p w:rsidR="00BB042D" w:rsidRPr="00E8321C" w:rsidRDefault="00BB042D" w:rsidP="00A8469F">
            <w:pPr>
              <w:pStyle w:val="BodyText2"/>
              <w:widowControl w:val="0"/>
              <w:numPr>
                <w:ilvl w:val="0"/>
                <w:numId w:val="0"/>
              </w:numPr>
              <w:spacing w:after="0"/>
              <w:jc w:val="center"/>
              <w:rPr>
                <w:sz w:val="20"/>
              </w:rPr>
            </w:pPr>
            <w:r>
              <w:rPr>
                <w:sz w:val="20"/>
              </w:rPr>
              <w:t>3-hr rolling average CEMS</w:t>
            </w:r>
          </w:p>
        </w:tc>
        <w:tc>
          <w:tcPr>
            <w:tcW w:w="1776" w:type="dxa"/>
            <w:tcBorders>
              <w:right w:val="single" w:sz="12" w:space="0" w:color="auto"/>
            </w:tcBorders>
            <w:vAlign w:val="center"/>
          </w:tcPr>
          <w:p w:rsidR="00BB042D" w:rsidRPr="00E8321C" w:rsidRDefault="00BB042D" w:rsidP="00A8469F">
            <w:pPr>
              <w:pStyle w:val="BodyText2"/>
              <w:widowControl w:val="0"/>
              <w:numPr>
                <w:ilvl w:val="0"/>
                <w:numId w:val="0"/>
              </w:numPr>
              <w:spacing w:after="0"/>
              <w:jc w:val="center"/>
              <w:rPr>
                <w:sz w:val="20"/>
              </w:rPr>
            </w:pPr>
            <w:r>
              <w:rPr>
                <w:sz w:val="20"/>
              </w:rPr>
              <w:t>DLN, SCR</w:t>
            </w:r>
          </w:p>
        </w:tc>
      </w:tr>
      <w:tr w:rsidR="00BB042D" w:rsidRPr="00E8321C" w:rsidTr="00854AE9">
        <w:tc>
          <w:tcPr>
            <w:tcW w:w="1152" w:type="dxa"/>
            <w:tcBorders>
              <w:left w:val="single" w:sz="12" w:space="0" w:color="auto"/>
              <w:bottom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TX-0709</w:t>
            </w:r>
          </w:p>
        </w:tc>
        <w:tc>
          <w:tcPr>
            <w:tcW w:w="1128" w:type="dxa"/>
            <w:tcBorders>
              <w:bottom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03/20/2015</w:t>
            </w:r>
          </w:p>
        </w:tc>
        <w:tc>
          <w:tcPr>
            <w:tcW w:w="1580" w:type="dxa"/>
            <w:tcBorders>
              <w:bottom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1-on-1 CCCT with HRSG</w:t>
            </w:r>
          </w:p>
        </w:tc>
        <w:tc>
          <w:tcPr>
            <w:tcW w:w="1609" w:type="dxa"/>
            <w:tcBorders>
              <w:bottom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174 MW</w:t>
            </w:r>
          </w:p>
        </w:tc>
        <w:tc>
          <w:tcPr>
            <w:tcW w:w="1311" w:type="dxa"/>
            <w:tcBorders>
              <w:bottom w:val="single" w:sz="12" w:space="0" w:color="auto"/>
            </w:tcBorders>
            <w:vAlign w:val="center"/>
          </w:tcPr>
          <w:p w:rsidR="00BB042D" w:rsidRPr="006979E6" w:rsidRDefault="00BB042D" w:rsidP="00A8469F">
            <w:pPr>
              <w:pStyle w:val="BodyText2"/>
              <w:widowControl w:val="0"/>
              <w:numPr>
                <w:ilvl w:val="0"/>
                <w:numId w:val="0"/>
              </w:numPr>
              <w:spacing w:after="0"/>
              <w:jc w:val="center"/>
              <w:rPr>
                <w:sz w:val="20"/>
              </w:rPr>
            </w:pPr>
            <w:r>
              <w:rPr>
                <w:sz w:val="20"/>
              </w:rPr>
              <w:t>2.0 ppmvd @ 15%O</w:t>
            </w:r>
            <w:r>
              <w:rPr>
                <w:sz w:val="20"/>
                <w:vertAlign w:val="subscript"/>
              </w:rPr>
              <w:t>2</w:t>
            </w:r>
          </w:p>
        </w:tc>
        <w:tc>
          <w:tcPr>
            <w:tcW w:w="1242" w:type="dxa"/>
            <w:tcBorders>
              <w:bottom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24-hr rolling average CEMS</w:t>
            </w:r>
          </w:p>
        </w:tc>
        <w:tc>
          <w:tcPr>
            <w:tcW w:w="1776" w:type="dxa"/>
            <w:tcBorders>
              <w:bottom w:val="single" w:sz="12" w:space="0" w:color="auto"/>
              <w:right w:val="single" w:sz="12" w:space="0" w:color="auto"/>
            </w:tcBorders>
            <w:vAlign w:val="center"/>
          </w:tcPr>
          <w:p w:rsidR="00BB042D" w:rsidRDefault="00BB042D" w:rsidP="00A8469F">
            <w:pPr>
              <w:pStyle w:val="BodyText2"/>
              <w:widowControl w:val="0"/>
              <w:numPr>
                <w:ilvl w:val="0"/>
                <w:numId w:val="0"/>
              </w:numPr>
              <w:spacing w:after="0"/>
              <w:jc w:val="center"/>
              <w:rPr>
                <w:sz w:val="20"/>
              </w:rPr>
            </w:pPr>
            <w:r>
              <w:rPr>
                <w:sz w:val="20"/>
              </w:rPr>
              <w:t>SCR</w:t>
            </w:r>
          </w:p>
        </w:tc>
      </w:tr>
      <w:tr w:rsidR="00BB042D" w:rsidRPr="00E8321C" w:rsidTr="00854AE9">
        <w:trPr>
          <w:trHeight w:val="539"/>
        </w:trPr>
        <w:tc>
          <w:tcPr>
            <w:tcW w:w="9798" w:type="dxa"/>
            <w:gridSpan w:val="7"/>
            <w:tcBorders>
              <w:top w:val="single" w:sz="12" w:space="0" w:color="auto"/>
              <w:left w:val="single" w:sz="12" w:space="0" w:color="auto"/>
              <w:bottom w:val="single" w:sz="12" w:space="0" w:color="auto"/>
              <w:right w:val="single" w:sz="12" w:space="0" w:color="auto"/>
            </w:tcBorders>
          </w:tcPr>
          <w:p w:rsidR="00B21CB4" w:rsidRDefault="00B21CB4" w:rsidP="00B21CB4">
            <w:pPr>
              <w:pStyle w:val="BodyText2"/>
              <w:widowControl w:val="0"/>
              <w:numPr>
                <w:ilvl w:val="0"/>
                <w:numId w:val="0"/>
              </w:numPr>
              <w:spacing w:after="0"/>
              <w:jc w:val="left"/>
              <w:rPr>
                <w:sz w:val="18"/>
              </w:rPr>
            </w:pPr>
            <w:bookmarkStart w:id="28" w:name="_Ref511304124"/>
            <w:r w:rsidRPr="00B21CB4">
              <w:rPr>
                <w:sz w:val="18"/>
              </w:rPr>
              <w:t xml:space="preserve">Abbreviations:  </w:t>
            </w:r>
            <w:r>
              <w:rPr>
                <w:sz w:val="18"/>
              </w:rPr>
              <w:t>C</w:t>
            </w:r>
            <w:r w:rsidRPr="00B21CB4">
              <w:rPr>
                <w:sz w:val="18"/>
              </w:rPr>
              <w:t>ombined cycle combustion turbine (CCCT</w:t>
            </w:r>
            <w:r>
              <w:rPr>
                <w:sz w:val="18"/>
              </w:rPr>
              <w:t>)</w:t>
            </w:r>
          </w:p>
          <w:p w:rsidR="00BB042D" w:rsidRPr="009110D9" w:rsidRDefault="00BB042D" w:rsidP="009110D9">
            <w:pPr>
              <w:pStyle w:val="BodyText2"/>
              <w:widowControl w:val="0"/>
              <w:numPr>
                <w:ilvl w:val="0"/>
                <w:numId w:val="34"/>
              </w:numPr>
              <w:spacing w:after="0"/>
              <w:jc w:val="left"/>
              <w:rPr>
                <w:sz w:val="18"/>
              </w:rPr>
            </w:pPr>
            <w:bookmarkStart w:id="29" w:name="_Ref515002179"/>
            <w:r w:rsidRPr="009110D9">
              <w:rPr>
                <w:sz w:val="18"/>
              </w:rPr>
              <w:t>This project was not subject to PSD review for NO</w:t>
            </w:r>
            <w:r w:rsidRPr="009110D9">
              <w:rPr>
                <w:sz w:val="18"/>
                <w:vertAlign w:val="subscript"/>
              </w:rPr>
              <w:t>X</w:t>
            </w:r>
            <w:r w:rsidRPr="009110D9">
              <w:rPr>
                <w:sz w:val="18"/>
              </w:rPr>
              <w:t>, and the limit was imposed at the applicant’s request, i.e. the limit does not constitute BACT.  However, the requested limit is consistent with BACT determinations for similar projects.</w:t>
            </w:r>
            <w:bookmarkEnd w:id="28"/>
            <w:bookmarkEnd w:id="29"/>
          </w:p>
          <w:p w:rsidR="00B15181" w:rsidRPr="009110D9" w:rsidRDefault="00BB042D" w:rsidP="009110D9">
            <w:pPr>
              <w:pStyle w:val="BodyText2"/>
              <w:widowControl w:val="0"/>
              <w:numPr>
                <w:ilvl w:val="0"/>
                <w:numId w:val="34"/>
              </w:numPr>
              <w:spacing w:after="0"/>
              <w:jc w:val="left"/>
              <w:rPr>
                <w:sz w:val="18"/>
              </w:rPr>
            </w:pPr>
            <w:bookmarkStart w:id="30" w:name="_Ref511304197"/>
            <w:r w:rsidRPr="009110D9">
              <w:rPr>
                <w:sz w:val="18"/>
              </w:rPr>
              <w:t>This limit constitutes the Lowest Achievable Emissions Rate (LAER).</w:t>
            </w:r>
            <w:bookmarkEnd w:id="30"/>
          </w:p>
        </w:tc>
      </w:tr>
    </w:tbl>
    <w:p w:rsidR="00B31D0D" w:rsidRDefault="008C71C1" w:rsidP="00BB042D">
      <w:pPr>
        <w:widowControl w:val="0"/>
        <w:spacing w:before="120" w:after="120"/>
        <w:rPr>
          <w:sz w:val="22"/>
          <w:szCs w:val="22"/>
        </w:rPr>
      </w:pPr>
      <w:r w:rsidRPr="008474FC">
        <w:rPr>
          <w:sz w:val="22"/>
          <w:szCs w:val="22"/>
        </w:rPr>
        <w:t>Considering all available information, the Department establishes a</w:t>
      </w:r>
      <w:r w:rsidR="001D6A3A">
        <w:rPr>
          <w:sz w:val="22"/>
          <w:szCs w:val="22"/>
        </w:rPr>
        <w:t xml:space="preserve"> Primary</w:t>
      </w:r>
      <w:r w:rsidRPr="008474FC">
        <w:rPr>
          <w:sz w:val="22"/>
          <w:szCs w:val="22"/>
        </w:rPr>
        <w:t xml:space="preserve"> NO</w:t>
      </w:r>
      <w:r w:rsidRPr="008474FC">
        <w:rPr>
          <w:sz w:val="22"/>
          <w:szCs w:val="22"/>
          <w:vertAlign w:val="subscript"/>
        </w:rPr>
        <w:t>X</w:t>
      </w:r>
      <w:r w:rsidRPr="008474FC">
        <w:rPr>
          <w:sz w:val="22"/>
          <w:szCs w:val="22"/>
        </w:rPr>
        <w:t xml:space="preserve"> BACT standard</w:t>
      </w:r>
      <w:r w:rsidRPr="00AB433E">
        <w:rPr>
          <w:sz w:val="22"/>
          <w:szCs w:val="22"/>
        </w:rPr>
        <w:t xml:space="preserve"> </w:t>
      </w:r>
      <w:r w:rsidR="0092495B">
        <w:rPr>
          <w:sz w:val="22"/>
          <w:szCs w:val="22"/>
        </w:rPr>
        <w:t xml:space="preserve">of </w:t>
      </w:r>
      <w:r w:rsidR="0092495B" w:rsidRPr="0092495B">
        <w:rPr>
          <w:sz w:val="22"/>
          <w:szCs w:val="22"/>
        </w:rPr>
        <w:t xml:space="preserve">2.0 ppmvd </w:t>
      </w:r>
      <w:r w:rsidR="0092495B">
        <w:rPr>
          <w:sz w:val="22"/>
          <w:szCs w:val="22"/>
        </w:rPr>
        <w:t xml:space="preserve">at </w:t>
      </w:r>
      <w:r w:rsidR="0092495B" w:rsidRPr="0092495B">
        <w:rPr>
          <w:sz w:val="22"/>
          <w:szCs w:val="22"/>
        </w:rPr>
        <w:t>15% O</w:t>
      </w:r>
      <w:r w:rsidR="0092495B" w:rsidRPr="0092495B">
        <w:rPr>
          <w:sz w:val="22"/>
          <w:szCs w:val="22"/>
          <w:vertAlign w:val="subscript"/>
        </w:rPr>
        <w:t>2</w:t>
      </w:r>
      <w:r w:rsidR="0092495B" w:rsidRPr="0092495B">
        <w:rPr>
          <w:sz w:val="22"/>
          <w:szCs w:val="22"/>
        </w:rPr>
        <w:t xml:space="preserve"> on a 24-hour block average basis with compliance</w:t>
      </w:r>
      <w:r w:rsidR="00D8600E">
        <w:rPr>
          <w:sz w:val="22"/>
          <w:szCs w:val="22"/>
        </w:rPr>
        <w:t xml:space="preserve"> demonstrated</w:t>
      </w:r>
      <w:r w:rsidR="0092495B" w:rsidRPr="0092495B">
        <w:rPr>
          <w:sz w:val="22"/>
          <w:szCs w:val="22"/>
        </w:rPr>
        <w:t xml:space="preserve"> by CEMS.</w:t>
      </w:r>
      <w:r w:rsidR="00C83BA8">
        <w:rPr>
          <w:sz w:val="22"/>
          <w:szCs w:val="22"/>
        </w:rPr>
        <w:t xml:space="preserve">  Consistent with other BACT determinations</w:t>
      </w:r>
      <w:r w:rsidR="006C0FA9">
        <w:rPr>
          <w:sz w:val="22"/>
          <w:szCs w:val="22"/>
        </w:rPr>
        <w:t xml:space="preserve"> for natural gas firing</w:t>
      </w:r>
      <w:r w:rsidR="00C83BA8">
        <w:rPr>
          <w:sz w:val="22"/>
          <w:szCs w:val="22"/>
        </w:rPr>
        <w:t xml:space="preserve">, </w:t>
      </w:r>
      <w:r w:rsidR="006C0FA9">
        <w:rPr>
          <w:sz w:val="22"/>
          <w:szCs w:val="22"/>
        </w:rPr>
        <w:t>the SCR and DLN combustors will be required for installation.</w:t>
      </w:r>
      <w:r w:rsidR="00C83BA8">
        <w:rPr>
          <w:sz w:val="22"/>
          <w:szCs w:val="22"/>
        </w:rPr>
        <w:t xml:space="preserve"> </w:t>
      </w:r>
    </w:p>
    <w:p w:rsidR="00563792" w:rsidRDefault="008E4923" w:rsidP="00BB042D">
      <w:pPr>
        <w:widowControl w:val="0"/>
        <w:spacing w:before="120" w:after="120"/>
        <w:rPr>
          <w:sz w:val="22"/>
          <w:szCs w:val="22"/>
        </w:rPr>
      </w:pPr>
      <w:r>
        <w:rPr>
          <w:sz w:val="22"/>
          <w:szCs w:val="22"/>
        </w:rPr>
        <w:t>The applicable NO</w:t>
      </w:r>
      <w:r w:rsidRPr="008E4923">
        <w:rPr>
          <w:sz w:val="22"/>
          <w:szCs w:val="22"/>
          <w:vertAlign w:val="subscript"/>
        </w:rPr>
        <w:t>X</w:t>
      </w:r>
      <w:r>
        <w:rPr>
          <w:sz w:val="22"/>
          <w:szCs w:val="22"/>
        </w:rPr>
        <w:t xml:space="preserve"> limitations contained in NSPS Subpart KKKK shall apply as Secondary BACT limits.</w:t>
      </w:r>
      <w:r w:rsidR="001C1551">
        <w:rPr>
          <w:sz w:val="22"/>
          <w:szCs w:val="22"/>
        </w:rPr>
        <w:t xml:space="preserve"> </w:t>
      </w:r>
      <w:r>
        <w:rPr>
          <w:sz w:val="22"/>
          <w:szCs w:val="22"/>
        </w:rPr>
        <w:t xml:space="preserve"> </w:t>
      </w:r>
      <w:r w:rsidR="00563792" w:rsidRPr="00563792">
        <w:rPr>
          <w:sz w:val="22"/>
          <w:szCs w:val="22"/>
        </w:rPr>
        <w:t>Conditions such as startup, shutdowns, and malfunctions, which are generally not subject to the Primary BACT limit, will be subject to a Secondary BACT limit, which is equivalent to the applicable NSPS Subpart KKKK emissions standards.  Demonstrating compliance with the NSPS Subpart KKKK limit for NO</w:t>
      </w:r>
      <w:r w:rsidR="00563792" w:rsidRPr="00563792">
        <w:rPr>
          <w:sz w:val="22"/>
          <w:szCs w:val="22"/>
          <w:vertAlign w:val="subscript"/>
        </w:rPr>
        <w:t>X</w:t>
      </w:r>
      <w:r w:rsidR="00563792" w:rsidRPr="00563792">
        <w:rPr>
          <w:sz w:val="22"/>
          <w:szCs w:val="22"/>
        </w:rPr>
        <w:t xml:space="preserve"> will be sufficient for demonstrating compliance with the Secondary NO</w:t>
      </w:r>
      <w:r w:rsidR="00563792" w:rsidRPr="00563792">
        <w:rPr>
          <w:sz w:val="22"/>
          <w:szCs w:val="22"/>
          <w:vertAlign w:val="subscript"/>
        </w:rPr>
        <w:t>X</w:t>
      </w:r>
      <w:r w:rsidR="00563792" w:rsidRPr="00563792">
        <w:rPr>
          <w:sz w:val="22"/>
          <w:szCs w:val="22"/>
        </w:rPr>
        <w:t xml:space="preserve"> BACT limit</w:t>
      </w:r>
      <w:r w:rsidR="00563792">
        <w:rPr>
          <w:sz w:val="22"/>
          <w:szCs w:val="22"/>
        </w:rPr>
        <w:t>.</w:t>
      </w:r>
    </w:p>
    <w:p w:rsidR="00855300" w:rsidRPr="0047651F" w:rsidRDefault="00CD15B3" w:rsidP="00BB042D">
      <w:pPr>
        <w:widowControl w:val="0"/>
        <w:spacing w:before="120" w:after="120"/>
        <w:rPr>
          <w:sz w:val="22"/>
          <w:szCs w:val="22"/>
        </w:rPr>
      </w:pPr>
      <w:r>
        <w:rPr>
          <w:iCs/>
          <w:sz w:val="22"/>
          <w:szCs w:val="22"/>
        </w:rPr>
        <w:t xml:space="preserve">As requested, duct firing shall be limited to 4,000 hours per year. </w:t>
      </w:r>
      <w:r w:rsidR="00D15051">
        <w:rPr>
          <w:iCs/>
          <w:sz w:val="22"/>
          <w:szCs w:val="22"/>
        </w:rPr>
        <w:t xml:space="preserve"> </w:t>
      </w:r>
      <w:r w:rsidR="00855300">
        <w:rPr>
          <w:iCs/>
          <w:sz w:val="22"/>
          <w:szCs w:val="22"/>
        </w:rPr>
        <w:t>The CTG will</w:t>
      </w:r>
      <w:r>
        <w:rPr>
          <w:iCs/>
          <w:sz w:val="22"/>
          <w:szCs w:val="22"/>
        </w:rPr>
        <w:t xml:space="preserve"> also</w:t>
      </w:r>
      <w:r w:rsidR="00855300">
        <w:rPr>
          <w:iCs/>
          <w:sz w:val="22"/>
          <w:szCs w:val="22"/>
        </w:rPr>
        <w:t xml:space="preserve"> be subject to work practices for startup and shutdown, which will minimize emissions of NO</w:t>
      </w:r>
      <w:r w:rsidR="00855300">
        <w:rPr>
          <w:iCs/>
          <w:sz w:val="22"/>
          <w:szCs w:val="22"/>
          <w:vertAlign w:val="subscript"/>
        </w:rPr>
        <w:t>X</w:t>
      </w:r>
      <w:r w:rsidR="00855300">
        <w:rPr>
          <w:iCs/>
          <w:sz w:val="22"/>
          <w:szCs w:val="22"/>
        </w:rPr>
        <w:t xml:space="preserve"> and other pollutants.</w:t>
      </w:r>
      <w:r>
        <w:rPr>
          <w:sz w:val="22"/>
          <w:szCs w:val="22"/>
        </w:rPr>
        <w:t xml:space="preserve"> </w:t>
      </w:r>
      <w:r w:rsidR="00855300">
        <w:rPr>
          <w:sz w:val="22"/>
          <w:szCs w:val="22"/>
        </w:rPr>
        <w:t xml:space="preserve"> Additionally, operators will be required to follow the manufacturer’s recommended procedures for startup and shutdown of the turbines, all operators will need to be trained in these procedures, and SHEC will have to maintain documentation of this training for all operators.</w:t>
      </w:r>
    </w:p>
    <w:bookmarkEnd w:id="22"/>
    <w:p w:rsidR="00584D97" w:rsidRPr="002E77C6" w:rsidRDefault="00584D97" w:rsidP="002E77C6">
      <w:pPr>
        <w:pStyle w:val="ListParagraph"/>
        <w:widowControl w:val="0"/>
        <w:numPr>
          <w:ilvl w:val="3"/>
          <w:numId w:val="3"/>
        </w:numPr>
        <w:spacing w:after="120"/>
        <w:ind w:left="720" w:hanging="720"/>
        <w:contextualSpacing w:val="0"/>
        <w:rPr>
          <w:i/>
          <w:caps/>
          <w:sz w:val="22"/>
          <w:szCs w:val="22"/>
          <w:u w:val="single"/>
        </w:rPr>
      </w:pPr>
      <w:r w:rsidRPr="002E77C6">
        <w:rPr>
          <w:i/>
          <w:sz w:val="22"/>
          <w:szCs w:val="22"/>
        </w:rPr>
        <w:t>CO</w:t>
      </w:r>
      <w:r w:rsidR="00190881" w:rsidRPr="002E77C6">
        <w:rPr>
          <w:i/>
          <w:sz w:val="22"/>
          <w:szCs w:val="22"/>
        </w:rPr>
        <w:t xml:space="preserve"> Emissions</w:t>
      </w:r>
    </w:p>
    <w:p w:rsidR="005667BA" w:rsidRDefault="00604E12" w:rsidP="00EB362E">
      <w:pPr>
        <w:widowControl w:val="0"/>
        <w:spacing w:after="120"/>
        <w:rPr>
          <w:sz w:val="22"/>
          <w:szCs w:val="22"/>
        </w:rPr>
      </w:pPr>
      <w:r>
        <w:rPr>
          <w:sz w:val="22"/>
          <w:szCs w:val="22"/>
        </w:rPr>
        <w:t>As seen in</w:t>
      </w:r>
      <w:r w:rsidR="002E77C6">
        <w:rPr>
          <w:sz w:val="22"/>
          <w:szCs w:val="22"/>
        </w:rPr>
        <w:t xml:space="preserve"> </w:t>
      </w:r>
      <w:r w:rsidR="002E77C6" w:rsidRPr="002E77C6">
        <w:rPr>
          <w:rFonts w:ascii="Times New Roman Bold" w:hAnsi="Times New Roman Bold"/>
          <w:b/>
          <w:sz w:val="22"/>
          <w:szCs w:val="22"/>
        </w:rPr>
        <w:fldChar w:fldCharType="begin"/>
      </w:r>
      <w:r w:rsidR="002E77C6" w:rsidRPr="002E77C6">
        <w:rPr>
          <w:rFonts w:ascii="Times New Roman Bold" w:hAnsi="Times New Roman Bold"/>
          <w:b/>
          <w:sz w:val="22"/>
          <w:szCs w:val="22"/>
        </w:rPr>
        <w:instrText xml:space="preserve"> REF _Ref513616510 \h </w:instrText>
      </w:r>
      <w:r w:rsidR="002E77C6">
        <w:rPr>
          <w:rFonts w:ascii="Times New Roman Bold" w:hAnsi="Times New Roman Bold"/>
          <w:b/>
          <w:sz w:val="22"/>
          <w:szCs w:val="22"/>
        </w:rPr>
        <w:instrText xml:space="preserve"> \* MERGEFORMAT </w:instrText>
      </w:r>
      <w:r w:rsidR="002E77C6" w:rsidRPr="002E77C6">
        <w:rPr>
          <w:rFonts w:ascii="Times New Roman Bold" w:hAnsi="Times New Roman Bold"/>
          <w:b/>
          <w:sz w:val="22"/>
          <w:szCs w:val="22"/>
        </w:rPr>
      </w:r>
      <w:r w:rsidR="002E77C6" w:rsidRPr="002E77C6">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4</w:t>
      </w:r>
      <w:r w:rsidR="002E77C6" w:rsidRPr="002E77C6">
        <w:rPr>
          <w:rFonts w:ascii="Times New Roman Bold" w:hAnsi="Times New Roman Bold"/>
          <w:b/>
          <w:sz w:val="22"/>
          <w:szCs w:val="22"/>
        </w:rPr>
        <w:fldChar w:fldCharType="end"/>
      </w:r>
      <w:r w:rsidRPr="00604E12">
        <w:rPr>
          <w:sz w:val="22"/>
          <w:szCs w:val="22"/>
        </w:rPr>
        <w:t>,</w:t>
      </w:r>
      <w:r>
        <w:rPr>
          <w:sz w:val="22"/>
          <w:szCs w:val="22"/>
        </w:rPr>
        <w:t xml:space="preserve"> one of the primary pollutants being emitted from the combustion turbine is CO. </w:t>
      </w:r>
      <w:r w:rsidR="001C6581">
        <w:rPr>
          <w:sz w:val="22"/>
          <w:szCs w:val="22"/>
        </w:rPr>
        <w:t xml:space="preserve"> </w:t>
      </w:r>
      <w:r w:rsidR="006C4E4B">
        <w:rPr>
          <w:sz w:val="22"/>
          <w:szCs w:val="22"/>
        </w:rPr>
        <w:t xml:space="preserve">Emissions of CO are formed due to incomplete combustion of </w:t>
      </w:r>
      <w:r w:rsidR="005667BA">
        <w:rPr>
          <w:sz w:val="22"/>
          <w:szCs w:val="22"/>
        </w:rPr>
        <w:t>the natural gas.</w:t>
      </w:r>
      <w:r w:rsidR="00EB362E" w:rsidRPr="00E251C1">
        <w:rPr>
          <w:sz w:val="22"/>
          <w:szCs w:val="22"/>
        </w:rPr>
        <w:t xml:space="preserve">  Incomplete combustion </w:t>
      </w:r>
      <w:r w:rsidR="005667BA">
        <w:rPr>
          <w:sz w:val="22"/>
          <w:szCs w:val="22"/>
        </w:rPr>
        <w:t xml:space="preserve">occurs </w:t>
      </w:r>
      <w:r w:rsidR="00EB362E" w:rsidRPr="00E251C1">
        <w:rPr>
          <w:sz w:val="22"/>
          <w:szCs w:val="22"/>
        </w:rPr>
        <w:t xml:space="preserve">when there is insufficient residence time at high temperature or incomplete mixing to </w:t>
      </w:r>
      <w:r w:rsidR="005667BA" w:rsidRPr="005667BA">
        <w:rPr>
          <w:sz w:val="22"/>
          <w:szCs w:val="22"/>
        </w:rPr>
        <w:t>completely form carbon dioxide (CO</w:t>
      </w:r>
      <w:r w:rsidR="005667BA" w:rsidRPr="005667BA">
        <w:rPr>
          <w:sz w:val="22"/>
          <w:szCs w:val="22"/>
          <w:vertAlign w:val="subscript"/>
        </w:rPr>
        <w:t>2</w:t>
      </w:r>
      <w:r w:rsidR="005667BA" w:rsidRPr="005667BA">
        <w:rPr>
          <w:sz w:val="22"/>
          <w:szCs w:val="22"/>
        </w:rPr>
        <w:t>) and water (H</w:t>
      </w:r>
      <w:r w:rsidR="005667BA" w:rsidRPr="005667BA">
        <w:rPr>
          <w:sz w:val="22"/>
          <w:szCs w:val="22"/>
          <w:vertAlign w:val="subscript"/>
        </w:rPr>
        <w:t>2</w:t>
      </w:r>
      <w:r w:rsidR="005667BA" w:rsidRPr="005667BA">
        <w:rPr>
          <w:sz w:val="22"/>
          <w:szCs w:val="22"/>
        </w:rPr>
        <w:t>O)</w:t>
      </w:r>
      <w:r w:rsidR="005667BA">
        <w:rPr>
          <w:sz w:val="22"/>
          <w:szCs w:val="22"/>
        </w:rPr>
        <w:t>.</w:t>
      </w:r>
      <w:r w:rsidR="00CF591D" w:rsidRPr="00CF591D">
        <w:rPr>
          <w:sz w:val="22"/>
          <w:szCs w:val="22"/>
        </w:rPr>
        <w:t xml:space="preserve"> </w:t>
      </w:r>
      <w:r w:rsidR="00CF591D">
        <w:rPr>
          <w:sz w:val="22"/>
          <w:szCs w:val="22"/>
        </w:rPr>
        <w:t xml:space="preserve"> </w:t>
      </w:r>
      <w:r w:rsidR="00E86536">
        <w:rPr>
          <w:sz w:val="22"/>
          <w:szCs w:val="22"/>
        </w:rPr>
        <w:t xml:space="preserve">Furthermore, the </w:t>
      </w:r>
      <w:r w:rsidR="00DC27C0" w:rsidRPr="00DC27C0">
        <w:rPr>
          <w:sz w:val="22"/>
          <w:szCs w:val="22"/>
        </w:rPr>
        <w:t xml:space="preserve">incomplete combustion of carbon-containing fuels such as natural gas </w:t>
      </w:r>
      <w:r w:rsidR="00E86536">
        <w:rPr>
          <w:sz w:val="22"/>
          <w:szCs w:val="22"/>
        </w:rPr>
        <w:t xml:space="preserve">is more likely to </w:t>
      </w:r>
      <w:r w:rsidR="0046769E">
        <w:rPr>
          <w:sz w:val="22"/>
          <w:szCs w:val="22"/>
        </w:rPr>
        <w:t xml:space="preserve">occur </w:t>
      </w:r>
      <w:r w:rsidR="00CF591D" w:rsidRPr="00E251C1">
        <w:rPr>
          <w:sz w:val="22"/>
          <w:szCs w:val="22"/>
        </w:rPr>
        <w:t>for gas turbines operating at low loads as compared to similar gas turbines</w:t>
      </w:r>
      <w:r w:rsidR="00CF591D" w:rsidRPr="008750FE">
        <w:t xml:space="preserve"> </w:t>
      </w:r>
      <w:r w:rsidR="00CF591D" w:rsidRPr="008750FE">
        <w:rPr>
          <w:sz w:val="22"/>
          <w:szCs w:val="22"/>
        </w:rPr>
        <w:t>operating at higher loads.</w:t>
      </w:r>
    </w:p>
    <w:p w:rsidR="0088130C" w:rsidRDefault="00EB362E" w:rsidP="00EB362E">
      <w:pPr>
        <w:widowControl w:val="0"/>
        <w:spacing w:after="120"/>
        <w:rPr>
          <w:sz w:val="22"/>
          <w:szCs w:val="22"/>
        </w:rPr>
      </w:pPr>
      <w:r w:rsidRPr="00E251C1">
        <w:rPr>
          <w:sz w:val="22"/>
          <w:szCs w:val="22"/>
        </w:rPr>
        <w:t>For many combustion processes, CO emissions are inversely proportional to NO</w:t>
      </w:r>
      <w:r w:rsidR="00A64650" w:rsidRPr="00A64650">
        <w:rPr>
          <w:sz w:val="22"/>
          <w:szCs w:val="22"/>
          <w:vertAlign w:val="subscript"/>
        </w:rPr>
        <w:t>X</w:t>
      </w:r>
      <w:r w:rsidRPr="00E251C1">
        <w:rPr>
          <w:sz w:val="22"/>
          <w:szCs w:val="22"/>
        </w:rPr>
        <w:t xml:space="preserve"> emissions.  However, the DLN combustor design for General Electric’s Frame 7HA gas turbines have also successfully reduced CO emissions concurrently with </w:t>
      </w:r>
      <w:r w:rsidR="00A64650" w:rsidRPr="00E251C1">
        <w:rPr>
          <w:sz w:val="22"/>
          <w:szCs w:val="22"/>
        </w:rPr>
        <w:t>NO</w:t>
      </w:r>
      <w:r w:rsidR="00A64650" w:rsidRPr="00A64650">
        <w:rPr>
          <w:sz w:val="22"/>
          <w:szCs w:val="22"/>
          <w:vertAlign w:val="subscript"/>
        </w:rPr>
        <w:t>X</w:t>
      </w:r>
      <w:r w:rsidRPr="00E251C1">
        <w:rPr>
          <w:sz w:val="22"/>
          <w:szCs w:val="22"/>
        </w:rPr>
        <w:t xml:space="preserve"> emissions.</w:t>
      </w:r>
      <w:r w:rsidR="008750FE" w:rsidRPr="008750FE">
        <w:rPr>
          <w:sz w:val="22"/>
          <w:szCs w:val="22"/>
        </w:rPr>
        <w:t xml:space="preserve">  Emissions of CO can be</w:t>
      </w:r>
      <w:r w:rsidR="00503B17">
        <w:rPr>
          <w:sz w:val="22"/>
          <w:szCs w:val="22"/>
        </w:rPr>
        <w:t xml:space="preserve"> </w:t>
      </w:r>
      <w:r w:rsidR="00A2728B">
        <w:rPr>
          <w:sz w:val="22"/>
          <w:szCs w:val="22"/>
        </w:rPr>
        <w:t>further</w:t>
      </w:r>
      <w:r w:rsidR="00A2728B" w:rsidRPr="008750FE">
        <w:rPr>
          <w:sz w:val="22"/>
          <w:szCs w:val="22"/>
        </w:rPr>
        <w:t xml:space="preserve"> </w:t>
      </w:r>
      <w:r w:rsidR="008750FE" w:rsidRPr="008750FE">
        <w:rPr>
          <w:sz w:val="22"/>
          <w:szCs w:val="22"/>
        </w:rPr>
        <w:t>controlled through the careful tuning of combustion and through add-on technologies</w:t>
      </w:r>
      <w:r w:rsidR="008750FE">
        <w:rPr>
          <w:sz w:val="22"/>
          <w:szCs w:val="22"/>
        </w:rPr>
        <w:t>.</w:t>
      </w:r>
    </w:p>
    <w:p w:rsidR="0088130C" w:rsidRDefault="0088130C">
      <w:pPr>
        <w:rPr>
          <w:sz w:val="22"/>
          <w:szCs w:val="22"/>
        </w:rPr>
      </w:pPr>
      <w:r>
        <w:rPr>
          <w:sz w:val="22"/>
          <w:szCs w:val="22"/>
        </w:rPr>
        <w:br w:type="page"/>
      </w:r>
    </w:p>
    <w:p w:rsidR="00584D97" w:rsidRPr="00D61A49" w:rsidRDefault="004261FA" w:rsidP="00962BE4">
      <w:pPr>
        <w:widowControl w:val="0"/>
        <w:spacing w:after="120"/>
        <w:rPr>
          <w:sz w:val="22"/>
          <w:szCs w:val="22"/>
          <w:u w:val="single"/>
        </w:rPr>
      </w:pPr>
      <w:r w:rsidRPr="004261FA">
        <w:rPr>
          <w:sz w:val="22"/>
          <w:szCs w:val="22"/>
          <w:u w:val="single"/>
        </w:rPr>
        <w:t>Identification of Control Technologies</w:t>
      </w:r>
    </w:p>
    <w:p w:rsidR="00826C9C" w:rsidRPr="00826C9C" w:rsidRDefault="00826C9C" w:rsidP="00826C9C">
      <w:pPr>
        <w:widowControl w:val="0"/>
        <w:spacing w:after="120"/>
        <w:rPr>
          <w:sz w:val="22"/>
          <w:szCs w:val="22"/>
        </w:rPr>
      </w:pPr>
      <w:r w:rsidRPr="00826C9C">
        <w:rPr>
          <w:i/>
          <w:sz w:val="22"/>
          <w:szCs w:val="22"/>
        </w:rPr>
        <w:t>Good Combu</w:t>
      </w:r>
      <w:r w:rsidR="00A35FD4">
        <w:rPr>
          <w:i/>
          <w:sz w:val="22"/>
          <w:szCs w:val="22"/>
        </w:rPr>
        <w:t>stion Practices (GCP):</w:t>
      </w:r>
      <w:r w:rsidRPr="00826C9C">
        <w:rPr>
          <w:sz w:val="22"/>
          <w:szCs w:val="22"/>
        </w:rPr>
        <w:t xml:space="preserve">  </w:t>
      </w:r>
      <w:r w:rsidR="006C1465" w:rsidRPr="006C1465">
        <w:rPr>
          <w:sz w:val="22"/>
          <w:szCs w:val="22"/>
        </w:rPr>
        <w:t xml:space="preserve">Evaporative cooling (also known as “fogging”) is the injection of fine water droplets into the gas turbine compressor inlet air, which reduces the gas temperature through evaporative cooling.  </w:t>
      </w:r>
      <w:r w:rsidR="00751BBD">
        <w:rPr>
          <w:sz w:val="22"/>
          <w:szCs w:val="22"/>
        </w:rPr>
        <w:t>As described in the application, the gas turbine will employ</w:t>
      </w:r>
      <w:r w:rsidR="007B5518">
        <w:rPr>
          <w:sz w:val="22"/>
          <w:szCs w:val="22"/>
        </w:rPr>
        <w:t xml:space="preserve"> e</w:t>
      </w:r>
      <w:r w:rsidR="00875D2B" w:rsidRPr="00875D2B">
        <w:rPr>
          <w:sz w:val="22"/>
          <w:szCs w:val="22"/>
        </w:rPr>
        <w:t>vaporative cooling at 100 percent load and ambient temperatures</w:t>
      </w:r>
      <w:r w:rsidR="00381316">
        <w:rPr>
          <w:sz w:val="22"/>
          <w:szCs w:val="22"/>
        </w:rPr>
        <w:t xml:space="preserve"> of 59°F </w:t>
      </w:r>
      <w:r w:rsidR="00F62677">
        <w:rPr>
          <w:sz w:val="22"/>
          <w:szCs w:val="22"/>
        </w:rPr>
        <w:t>or higher</w:t>
      </w:r>
      <w:r w:rsidR="00875D2B" w:rsidRPr="00875D2B">
        <w:rPr>
          <w:sz w:val="22"/>
          <w:szCs w:val="22"/>
        </w:rPr>
        <w:t>.</w:t>
      </w:r>
      <w:r w:rsidR="00A135A3">
        <w:rPr>
          <w:sz w:val="22"/>
          <w:szCs w:val="22"/>
        </w:rPr>
        <w:t xml:space="preserve">  The l</w:t>
      </w:r>
      <w:r w:rsidR="006C1465" w:rsidRPr="006C1465">
        <w:rPr>
          <w:sz w:val="22"/>
          <w:szCs w:val="22"/>
        </w:rPr>
        <w:t>ower compressor</w:t>
      </w:r>
      <w:r w:rsidR="00A135A3">
        <w:rPr>
          <w:sz w:val="22"/>
          <w:szCs w:val="22"/>
        </w:rPr>
        <w:t xml:space="preserve"> inlet temperatures result in an increased </w:t>
      </w:r>
      <w:r w:rsidR="006C1465" w:rsidRPr="006C1465">
        <w:rPr>
          <w:sz w:val="22"/>
          <w:szCs w:val="22"/>
        </w:rPr>
        <w:t xml:space="preserve">mass flow rate through the gas turbine with a boost in shaft-driven electrical power production.  </w:t>
      </w:r>
      <w:r w:rsidR="00A135A3">
        <w:rPr>
          <w:sz w:val="22"/>
          <w:szCs w:val="22"/>
        </w:rPr>
        <w:t>A full description of g</w:t>
      </w:r>
      <w:r w:rsidRPr="00826C9C">
        <w:rPr>
          <w:sz w:val="22"/>
          <w:szCs w:val="22"/>
        </w:rPr>
        <w:t>ood combustion practices include</w:t>
      </w:r>
      <w:r w:rsidR="00A135A3">
        <w:rPr>
          <w:sz w:val="22"/>
          <w:szCs w:val="22"/>
        </w:rPr>
        <w:t>s</w:t>
      </w:r>
      <w:r w:rsidRPr="00826C9C">
        <w:rPr>
          <w:sz w:val="22"/>
          <w:szCs w:val="22"/>
        </w:rPr>
        <w:t xml:space="preserve"> following the manufacture’s recommendations, the tuning of combustion, sufficient mixing of air and fuel, and dry controls using advanced</w:t>
      </w:r>
      <w:r w:rsidR="0008159D">
        <w:rPr>
          <w:sz w:val="22"/>
          <w:szCs w:val="22"/>
        </w:rPr>
        <w:t xml:space="preserve"> combustor design to promote CO</w:t>
      </w:r>
      <w:r w:rsidRPr="00826C9C">
        <w:rPr>
          <w:sz w:val="22"/>
          <w:szCs w:val="22"/>
        </w:rPr>
        <w:t xml:space="preserve"> burnout.  The control system is adjusted to consider the effect of the water content due to high fogging which can cause the pulsation levels of the combustion system and CO emissions to increase.  Simulations in steady-state cycle confirmed that high fogging will cause a minor shift in the hot gas temperature if the dry formulas are applied without any consideration.  However, </w:t>
      </w:r>
      <w:r w:rsidR="00412E2A">
        <w:rPr>
          <w:sz w:val="22"/>
          <w:szCs w:val="22"/>
        </w:rPr>
        <w:t>when</w:t>
      </w:r>
      <w:r w:rsidRPr="00826C9C">
        <w:rPr>
          <w:sz w:val="22"/>
          <w:szCs w:val="22"/>
        </w:rPr>
        <w:t xml:space="preserve"> using the adjusted turbine inlet temperature formulas, high fogging has a negligible influence on CO emissions under baseload operating conditions where the CO emissions are minimized.</w:t>
      </w:r>
    </w:p>
    <w:p w:rsidR="00FC1C51" w:rsidRDefault="00826C9C" w:rsidP="00826C9C">
      <w:pPr>
        <w:widowControl w:val="0"/>
        <w:spacing w:after="120"/>
        <w:rPr>
          <w:sz w:val="22"/>
          <w:szCs w:val="22"/>
        </w:rPr>
      </w:pPr>
      <w:r w:rsidRPr="00826C9C">
        <w:rPr>
          <w:i/>
          <w:sz w:val="22"/>
          <w:szCs w:val="22"/>
        </w:rPr>
        <w:t>Catalytic Oxidation Systems</w:t>
      </w:r>
      <w:r w:rsidR="00A35FD4">
        <w:rPr>
          <w:i/>
          <w:sz w:val="22"/>
          <w:szCs w:val="22"/>
        </w:rPr>
        <w:t>:</w:t>
      </w:r>
      <w:r w:rsidRPr="00826C9C">
        <w:rPr>
          <w:sz w:val="22"/>
          <w:szCs w:val="22"/>
        </w:rPr>
        <w:t xml:space="preserve">  A catalytic oxidation system consists of a noble metal catalyst section incorporated into the gas turbine exhaust.  CO oxidation catalysts are especially useful for turbines that use wet injection, which can increase the concentrations of CO and unburned hydrocarbons in the exhaust.  The catalyst is regularly comprised of a precious metal such as platinum, palladium, or rhodium.  Other formulations</w:t>
      </w:r>
      <w:r w:rsidRPr="00826C9C">
        <w:t xml:space="preserve"> </w:t>
      </w:r>
      <w:r w:rsidRPr="00826C9C">
        <w:rPr>
          <w:sz w:val="22"/>
          <w:szCs w:val="22"/>
        </w:rPr>
        <w:t>are also used, such as metal oxides for emission streams containing chlorinated compounds.  The CO catalyst promotes the oxidation of CO and hydrocarbon compounds to CO</w:t>
      </w:r>
      <w:r w:rsidRPr="00826C9C">
        <w:rPr>
          <w:sz w:val="22"/>
          <w:szCs w:val="22"/>
          <w:vertAlign w:val="subscript"/>
        </w:rPr>
        <w:t>2</w:t>
      </w:r>
      <w:r w:rsidRPr="00826C9C">
        <w:rPr>
          <w:sz w:val="22"/>
          <w:szCs w:val="22"/>
        </w:rPr>
        <w:t xml:space="preserve"> and H</w:t>
      </w:r>
      <w:r w:rsidRPr="00826C9C">
        <w:rPr>
          <w:sz w:val="22"/>
          <w:szCs w:val="22"/>
          <w:vertAlign w:val="subscript"/>
        </w:rPr>
        <w:t>2</w:t>
      </w:r>
      <w:r w:rsidRPr="00826C9C">
        <w:rPr>
          <w:sz w:val="22"/>
          <w:szCs w:val="22"/>
        </w:rPr>
        <w:t>O as the emission stream passes through the catalyst bed.  The oxidation process takes place spontaneously, without the requirement for introducing reactants.  The performance of these oxidation catalyst systems on combustion turbines results in 90-plus percent control of CO and about 85 to 90 percent control of formaldehyde.  A catalytic oxidation system could be installed either before the HRSG or within the HRSG.  Installation within the HRSG would also reduce CO e</w:t>
      </w:r>
      <w:r w:rsidR="00FC1C51">
        <w:rPr>
          <w:sz w:val="22"/>
          <w:szCs w:val="22"/>
        </w:rPr>
        <w:t>missions from the duct burner.</w:t>
      </w:r>
    </w:p>
    <w:p w:rsidR="00826C9C" w:rsidRPr="00826C9C" w:rsidRDefault="00A35FD4" w:rsidP="00826C9C">
      <w:pPr>
        <w:widowControl w:val="0"/>
        <w:spacing w:after="120"/>
        <w:rPr>
          <w:sz w:val="22"/>
          <w:szCs w:val="22"/>
        </w:rPr>
      </w:pPr>
      <w:r>
        <w:rPr>
          <w:i/>
          <w:sz w:val="22"/>
          <w:szCs w:val="22"/>
        </w:rPr>
        <w:t>EM</w:t>
      </w:r>
      <w:r w:rsidRPr="00A35FD4">
        <w:rPr>
          <w:i/>
          <w:sz w:val="22"/>
          <w:szCs w:val="22"/>
          <w:vertAlign w:val="subscript"/>
        </w:rPr>
        <w:t>X</w:t>
      </w:r>
      <w:r>
        <w:rPr>
          <w:i/>
          <w:sz w:val="22"/>
          <w:szCs w:val="22"/>
        </w:rPr>
        <w:t>:</w:t>
      </w:r>
      <w:r w:rsidR="00826C9C" w:rsidRPr="00826C9C">
        <w:rPr>
          <w:sz w:val="22"/>
          <w:szCs w:val="22"/>
        </w:rPr>
        <w:t xml:space="preserve">  The EM</w:t>
      </w:r>
      <w:r w:rsidRPr="00A35FD4">
        <w:rPr>
          <w:sz w:val="22"/>
          <w:szCs w:val="22"/>
          <w:vertAlign w:val="subscript"/>
        </w:rPr>
        <w:t>X</w:t>
      </w:r>
      <w:r w:rsidR="00826C9C" w:rsidRPr="00826C9C">
        <w:rPr>
          <w:sz w:val="22"/>
          <w:szCs w:val="22"/>
        </w:rPr>
        <w:t xml:space="preserve"> system is a process for control of CO, NO</w:t>
      </w:r>
      <w:r w:rsidR="00826C9C" w:rsidRPr="00826C9C">
        <w:rPr>
          <w:sz w:val="22"/>
          <w:szCs w:val="22"/>
          <w:vertAlign w:val="subscript"/>
        </w:rPr>
        <w:t>X</w:t>
      </w:r>
      <w:r w:rsidR="00826C9C" w:rsidRPr="00826C9C">
        <w:rPr>
          <w:sz w:val="22"/>
          <w:szCs w:val="22"/>
        </w:rPr>
        <w:t>, SO</w:t>
      </w:r>
      <w:r w:rsidR="00826C9C" w:rsidRPr="00826C9C">
        <w:rPr>
          <w:sz w:val="22"/>
          <w:szCs w:val="22"/>
          <w:vertAlign w:val="subscript"/>
        </w:rPr>
        <w:t>2</w:t>
      </w:r>
      <w:r w:rsidR="00826C9C" w:rsidRPr="00826C9C">
        <w:rPr>
          <w:sz w:val="22"/>
          <w:szCs w:val="22"/>
        </w:rPr>
        <w:t xml:space="preserve"> and PM emissions from natural gas fired combustion processes such as turbines, process heaters, and a variety of utility and industrial applications.  One benefit is that it does not require injection of ammonia or other chemicals and have demonstrated emission levels below 1 ppm.  However, this technology employs a catalyst that may be poisoned by even the very small amount of sulfur present in natural gas.  Finally, this technology has not been employed on large turbines, greater than approximately 80 MW.  The </w:t>
      </w:r>
      <w:r w:rsidR="0008159D">
        <w:rPr>
          <w:sz w:val="22"/>
          <w:szCs w:val="22"/>
        </w:rPr>
        <w:t xml:space="preserve">CTG for this project is </w:t>
      </w:r>
      <w:r w:rsidR="00826C9C" w:rsidRPr="00826C9C">
        <w:rPr>
          <w:sz w:val="22"/>
          <w:szCs w:val="22"/>
        </w:rPr>
        <w:t>roughly five times the size of the largest turbines on which this technology has been employed.  EM</w:t>
      </w:r>
      <w:r w:rsidRPr="00A35FD4">
        <w:rPr>
          <w:sz w:val="22"/>
          <w:szCs w:val="22"/>
          <w:vertAlign w:val="subscript"/>
        </w:rPr>
        <w:t>X</w:t>
      </w:r>
      <w:r w:rsidR="00826C9C" w:rsidRPr="00826C9C">
        <w:rPr>
          <w:sz w:val="22"/>
          <w:szCs w:val="22"/>
        </w:rPr>
        <w:t xml:space="preserve"> is mechanically very complicated and requires on-site hydrogen production from natural </w:t>
      </w:r>
      <w:r w:rsidR="00826C9C" w:rsidRPr="00826C9C">
        <w:rPr>
          <w:color w:val="000000"/>
          <w:sz w:val="22"/>
          <w:szCs w:val="22"/>
        </w:rPr>
        <w:t>gas</w:t>
      </w:r>
      <w:r w:rsidR="00640484">
        <w:rPr>
          <w:sz w:val="22"/>
          <w:szCs w:val="22"/>
        </w:rPr>
        <w:t>.</w:t>
      </w:r>
    </w:p>
    <w:p w:rsidR="00584D97" w:rsidRPr="00190915" w:rsidRDefault="00826C9C" w:rsidP="00826C9C">
      <w:pPr>
        <w:widowControl w:val="0"/>
        <w:spacing w:after="120"/>
        <w:rPr>
          <w:i/>
          <w:sz w:val="22"/>
          <w:szCs w:val="22"/>
        </w:rPr>
      </w:pPr>
      <w:r w:rsidRPr="00826C9C">
        <w:rPr>
          <w:i/>
          <w:sz w:val="22"/>
          <w:szCs w:val="22"/>
        </w:rPr>
        <w:t>Startup and Shutdown Work Practice Standards</w:t>
      </w:r>
      <w:r w:rsidR="00A35FD4">
        <w:rPr>
          <w:sz w:val="22"/>
          <w:szCs w:val="22"/>
        </w:rPr>
        <w:t>:</w:t>
      </w:r>
      <w:r w:rsidRPr="00826C9C">
        <w:rPr>
          <w:sz w:val="22"/>
          <w:szCs w:val="22"/>
        </w:rPr>
        <w:t xml:space="preserve">  Emissions of CO can be rather high at low load operations, such as during periods of startup and shutdown.  At these low loads, CO emissions can briefly be on the order of hundreds of ppmvd.  </w:t>
      </w:r>
      <w:r w:rsidR="0008159D">
        <w:rPr>
          <w:sz w:val="22"/>
          <w:szCs w:val="22"/>
        </w:rPr>
        <w:t>The applicant</w:t>
      </w:r>
      <w:r w:rsidRPr="00826C9C">
        <w:rPr>
          <w:sz w:val="22"/>
          <w:szCs w:val="22"/>
        </w:rPr>
        <w:t xml:space="preserve"> has proposed work practice standards that will serve to reduce CO emissions associated with startups and shutdowns.  These include following the manufacturer-recommended procedures for startup and shutdown.</w:t>
      </w:r>
    </w:p>
    <w:p w:rsidR="00584D97" w:rsidRPr="00AD278C" w:rsidRDefault="006C19BE" w:rsidP="00962BE4">
      <w:pPr>
        <w:widowControl w:val="0"/>
        <w:spacing w:after="120"/>
        <w:rPr>
          <w:sz w:val="22"/>
          <w:szCs w:val="22"/>
          <w:u w:val="single"/>
        </w:rPr>
      </w:pPr>
      <w:r>
        <w:rPr>
          <w:sz w:val="22"/>
          <w:szCs w:val="22"/>
          <w:u w:val="single"/>
        </w:rPr>
        <w:t>D</w:t>
      </w:r>
      <w:r w:rsidRPr="006C19BE">
        <w:rPr>
          <w:sz w:val="22"/>
          <w:szCs w:val="22"/>
          <w:u w:val="single"/>
        </w:rPr>
        <w:t>iscussion of Technically Infeasible Control Options and Ranking of Remaining Options</w:t>
      </w:r>
    </w:p>
    <w:p w:rsidR="00584D97" w:rsidRDefault="004210EC" w:rsidP="006544F7">
      <w:pPr>
        <w:widowControl w:val="0"/>
        <w:spacing w:after="120"/>
        <w:rPr>
          <w:sz w:val="22"/>
          <w:szCs w:val="22"/>
        </w:rPr>
      </w:pPr>
      <w:r>
        <w:rPr>
          <w:sz w:val="22"/>
          <w:szCs w:val="22"/>
        </w:rPr>
        <w:t xml:space="preserve">As, previously described, </w:t>
      </w:r>
      <w:r w:rsidR="004A313B">
        <w:rPr>
          <w:sz w:val="22"/>
          <w:szCs w:val="22"/>
        </w:rPr>
        <w:t>the EMx system</w:t>
      </w:r>
      <w:r w:rsidR="006544F7">
        <w:rPr>
          <w:sz w:val="22"/>
          <w:szCs w:val="22"/>
        </w:rPr>
        <w:t xml:space="preserve"> has not been employed on large gas turbines.  Therefore, the EMx system </w:t>
      </w:r>
      <w:r w:rsidR="006544F7" w:rsidRPr="006544F7">
        <w:rPr>
          <w:sz w:val="22"/>
          <w:szCs w:val="22"/>
        </w:rPr>
        <w:t>is considered to not be</w:t>
      </w:r>
      <w:r w:rsidR="006544F7">
        <w:rPr>
          <w:sz w:val="22"/>
          <w:szCs w:val="22"/>
        </w:rPr>
        <w:t xml:space="preserve"> </w:t>
      </w:r>
      <w:r w:rsidR="006544F7" w:rsidRPr="006544F7">
        <w:rPr>
          <w:sz w:val="22"/>
          <w:szCs w:val="22"/>
        </w:rPr>
        <w:t>technically feasible for the Project.</w:t>
      </w:r>
      <w:r w:rsidR="006544F7" w:rsidRPr="006544F7">
        <w:t xml:space="preserve"> </w:t>
      </w:r>
      <w:r w:rsidR="00B571A2">
        <w:t xml:space="preserve"> </w:t>
      </w:r>
      <w:r w:rsidR="001A7ACD" w:rsidRPr="001A7ACD">
        <w:rPr>
          <w:sz w:val="22"/>
        </w:rPr>
        <w:t xml:space="preserve">Work practice standards, </w:t>
      </w:r>
      <w:r w:rsidR="001A7ACD">
        <w:rPr>
          <w:sz w:val="22"/>
          <w:szCs w:val="22"/>
        </w:rPr>
        <w:t>c</w:t>
      </w:r>
      <w:r w:rsidR="006544F7" w:rsidRPr="006544F7">
        <w:rPr>
          <w:sz w:val="22"/>
          <w:szCs w:val="22"/>
        </w:rPr>
        <w:t xml:space="preserve">ombustion controls and oxidation catalyst </w:t>
      </w:r>
      <w:r w:rsidR="001A7ACD">
        <w:rPr>
          <w:sz w:val="22"/>
          <w:szCs w:val="22"/>
        </w:rPr>
        <w:t xml:space="preserve">systems </w:t>
      </w:r>
      <w:r w:rsidR="006544F7" w:rsidRPr="006544F7">
        <w:rPr>
          <w:sz w:val="22"/>
          <w:szCs w:val="22"/>
        </w:rPr>
        <w:t xml:space="preserve">are compatible technologies and are </w:t>
      </w:r>
      <w:r w:rsidR="001A7ACD">
        <w:rPr>
          <w:sz w:val="22"/>
          <w:szCs w:val="22"/>
        </w:rPr>
        <w:t xml:space="preserve">collectively </w:t>
      </w:r>
      <w:r w:rsidR="006544F7" w:rsidRPr="006544F7">
        <w:rPr>
          <w:sz w:val="22"/>
          <w:szCs w:val="22"/>
        </w:rPr>
        <w:t>considered as the top control option for CO</w:t>
      </w:r>
      <w:r w:rsidR="007C4CC4">
        <w:rPr>
          <w:sz w:val="22"/>
          <w:szCs w:val="22"/>
        </w:rPr>
        <w:t xml:space="preserve"> when applied</w:t>
      </w:r>
      <w:r w:rsidR="00546312">
        <w:rPr>
          <w:sz w:val="22"/>
          <w:szCs w:val="22"/>
        </w:rPr>
        <w:t xml:space="preserve"> </w:t>
      </w:r>
      <w:r w:rsidR="00546312" w:rsidRPr="00546312">
        <w:rPr>
          <w:sz w:val="22"/>
          <w:szCs w:val="22"/>
        </w:rPr>
        <w:t>simultaneously</w:t>
      </w:r>
      <w:r w:rsidR="005D545D">
        <w:rPr>
          <w:sz w:val="22"/>
          <w:szCs w:val="22"/>
        </w:rPr>
        <w:t>.</w:t>
      </w:r>
    </w:p>
    <w:p w:rsidR="00E30A83" w:rsidRPr="007B341C" w:rsidRDefault="007B341C" w:rsidP="007B341C">
      <w:pPr>
        <w:widowControl w:val="0"/>
        <w:spacing w:after="120"/>
        <w:rPr>
          <w:sz w:val="22"/>
          <w:szCs w:val="22"/>
          <w:u w:val="single"/>
        </w:rPr>
      </w:pPr>
      <w:r w:rsidRPr="007B341C">
        <w:rPr>
          <w:sz w:val="22"/>
          <w:szCs w:val="22"/>
          <w:u w:val="single"/>
        </w:rPr>
        <w:t>Evaluation of Economic, Environmental, and Energy Impacts of Feasible</w:t>
      </w:r>
      <w:r>
        <w:rPr>
          <w:sz w:val="22"/>
          <w:szCs w:val="22"/>
          <w:u w:val="single"/>
        </w:rPr>
        <w:t xml:space="preserve"> </w:t>
      </w:r>
      <w:r w:rsidRPr="007B341C">
        <w:rPr>
          <w:sz w:val="22"/>
          <w:szCs w:val="22"/>
          <w:u w:val="single"/>
        </w:rPr>
        <w:t>Technologies</w:t>
      </w:r>
    </w:p>
    <w:p w:rsidR="007B341C" w:rsidRDefault="000B3976" w:rsidP="004E479B">
      <w:pPr>
        <w:widowControl w:val="0"/>
        <w:spacing w:after="120"/>
        <w:rPr>
          <w:sz w:val="22"/>
          <w:szCs w:val="22"/>
        </w:rPr>
      </w:pPr>
      <w:r>
        <w:rPr>
          <w:sz w:val="22"/>
          <w:szCs w:val="22"/>
        </w:rPr>
        <w:t>Combustion controls</w:t>
      </w:r>
      <w:r w:rsidR="004E479B" w:rsidRPr="004E479B">
        <w:rPr>
          <w:sz w:val="22"/>
          <w:szCs w:val="22"/>
        </w:rPr>
        <w:t xml:space="preserve"> </w:t>
      </w:r>
      <w:r>
        <w:rPr>
          <w:sz w:val="22"/>
          <w:szCs w:val="22"/>
        </w:rPr>
        <w:t xml:space="preserve">and work practice standards are </w:t>
      </w:r>
      <w:r w:rsidR="00E554AF">
        <w:rPr>
          <w:sz w:val="22"/>
          <w:szCs w:val="22"/>
        </w:rPr>
        <w:t>customary</w:t>
      </w:r>
      <w:r>
        <w:rPr>
          <w:sz w:val="22"/>
          <w:szCs w:val="22"/>
        </w:rPr>
        <w:t xml:space="preserve"> for operating the unit, therefore, there will be no economic impacts</w:t>
      </w:r>
      <w:r w:rsidR="004E479B" w:rsidRPr="004E479B">
        <w:rPr>
          <w:sz w:val="22"/>
          <w:szCs w:val="22"/>
        </w:rPr>
        <w:t xml:space="preserve">. </w:t>
      </w:r>
      <w:r>
        <w:rPr>
          <w:sz w:val="22"/>
          <w:szCs w:val="22"/>
        </w:rPr>
        <w:t xml:space="preserve"> </w:t>
      </w:r>
      <w:r w:rsidR="004E479B" w:rsidRPr="004E479B">
        <w:rPr>
          <w:sz w:val="22"/>
          <w:szCs w:val="22"/>
        </w:rPr>
        <w:t xml:space="preserve">The </w:t>
      </w:r>
      <w:r w:rsidR="00191AB5">
        <w:rPr>
          <w:sz w:val="22"/>
          <w:szCs w:val="22"/>
        </w:rPr>
        <w:t xml:space="preserve">applicant evaluated the </w:t>
      </w:r>
      <w:r w:rsidR="004E479B" w:rsidRPr="004E479B">
        <w:rPr>
          <w:sz w:val="22"/>
          <w:szCs w:val="22"/>
        </w:rPr>
        <w:t>total capital cost of an oxidation catalyst to be a</w:t>
      </w:r>
      <w:r w:rsidR="00191AB5">
        <w:rPr>
          <w:sz w:val="22"/>
          <w:szCs w:val="22"/>
        </w:rPr>
        <w:t>pproximately</w:t>
      </w:r>
      <w:r w:rsidR="004E479B" w:rsidRPr="004E479B">
        <w:rPr>
          <w:sz w:val="22"/>
          <w:szCs w:val="22"/>
        </w:rPr>
        <w:t xml:space="preserve"> $881,000 per CTG/HRSG</w:t>
      </w:r>
      <w:r w:rsidR="00191AB5">
        <w:rPr>
          <w:sz w:val="22"/>
          <w:szCs w:val="22"/>
        </w:rPr>
        <w:t xml:space="preserve"> and a </w:t>
      </w:r>
      <w:r w:rsidR="004E479B" w:rsidRPr="004E479B">
        <w:rPr>
          <w:sz w:val="22"/>
          <w:szCs w:val="22"/>
        </w:rPr>
        <w:t xml:space="preserve">total annualized cost of approximately $717,000. </w:t>
      </w:r>
      <w:r w:rsidR="004E479B">
        <w:rPr>
          <w:sz w:val="22"/>
          <w:szCs w:val="22"/>
        </w:rPr>
        <w:t xml:space="preserve"> </w:t>
      </w:r>
      <w:r w:rsidR="004E479B" w:rsidRPr="004E479B">
        <w:rPr>
          <w:sz w:val="22"/>
          <w:szCs w:val="22"/>
        </w:rPr>
        <w:t>The</w:t>
      </w:r>
      <w:r w:rsidR="004E479B">
        <w:rPr>
          <w:sz w:val="22"/>
          <w:szCs w:val="22"/>
        </w:rPr>
        <w:t xml:space="preserve"> </w:t>
      </w:r>
      <w:r w:rsidR="00DA7498">
        <w:rPr>
          <w:sz w:val="22"/>
          <w:szCs w:val="22"/>
        </w:rPr>
        <w:t xml:space="preserve">applicant </w:t>
      </w:r>
      <w:r w:rsidR="00CB5273">
        <w:rPr>
          <w:sz w:val="22"/>
          <w:szCs w:val="22"/>
        </w:rPr>
        <w:t>also evaluated the</w:t>
      </w:r>
      <w:r w:rsidR="00DA7498">
        <w:rPr>
          <w:sz w:val="22"/>
          <w:szCs w:val="22"/>
        </w:rPr>
        <w:t xml:space="preserve"> </w:t>
      </w:r>
      <w:r w:rsidR="004E479B" w:rsidRPr="004E479B">
        <w:rPr>
          <w:sz w:val="22"/>
          <w:szCs w:val="22"/>
        </w:rPr>
        <w:t>incremental cost effectiveness of adding an oxidation catalyst to be</w:t>
      </w:r>
      <w:r w:rsidR="0091476D">
        <w:rPr>
          <w:sz w:val="22"/>
          <w:szCs w:val="22"/>
        </w:rPr>
        <w:t xml:space="preserve"> approximately</w:t>
      </w:r>
      <w:r w:rsidR="004E479B" w:rsidRPr="004E479B">
        <w:rPr>
          <w:sz w:val="22"/>
          <w:szCs w:val="22"/>
        </w:rPr>
        <w:t xml:space="preserve"> $5,184 per ton of CO</w:t>
      </w:r>
      <w:r w:rsidR="004E479B">
        <w:rPr>
          <w:sz w:val="22"/>
          <w:szCs w:val="22"/>
        </w:rPr>
        <w:t xml:space="preserve"> </w:t>
      </w:r>
      <w:r w:rsidR="004E479B" w:rsidRPr="004E479B">
        <w:rPr>
          <w:sz w:val="22"/>
          <w:szCs w:val="22"/>
        </w:rPr>
        <w:t>removed, based on 4,760 hours of operation at baseload and 4,000 hours at baseload with duct firing.</w:t>
      </w:r>
      <w:r w:rsidR="00C84A63">
        <w:rPr>
          <w:sz w:val="22"/>
          <w:szCs w:val="22"/>
        </w:rPr>
        <w:t xml:space="preserve">  However, in assuming 90% control efficiency of CO, the Department evaluated the </w:t>
      </w:r>
      <w:r w:rsidR="00C84A63" w:rsidRPr="00C84A63">
        <w:rPr>
          <w:sz w:val="22"/>
          <w:szCs w:val="22"/>
        </w:rPr>
        <w:t>incremental cost effectiveness</w:t>
      </w:r>
      <w:r w:rsidR="00C84A63" w:rsidRPr="00C84A63">
        <w:t xml:space="preserve"> </w:t>
      </w:r>
      <w:r w:rsidR="00C84A63" w:rsidRPr="00C84A63">
        <w:rPr>
          <w:sz w:val="22"/>
          <w:szCs w:val="22"/>
        </w:rPr>
        <w:t>of adding an oxidation catalyst to be approximately $</w:t>
      </w:r>
      <w:r w:rsidR="00C84A63">
        <w:rPr>
          <w:sz w:val="22"/>
          <w:szCs w:val="22"/>
        </w:rPr>
        <w:t>3,569</w:t>
      </w:r>
      <w:r w:rsidR="00C84A63" w:rsidRPr="00C84A63">
        <w:rPr>
          <w:sz w:val="22"/>
          <w:szCs w:val="22"/>
        </w:rPr>
        <w:t xml:space="preserve"> per ton of CO removed</w:t>
      </w:r>
      <w:r w:rsidR="00C84A63">
        <w:rPr>
          <w:sz w:val="22"/>
          <w:szCs w:val="22"/>
        </w:rPr>
        <w:t>.</w:t>
      </w:r>
    </w:p>
    <w:p w:rsidR="00604B71" w:rsidRDefault="00604B71" w:rsidP="00604B71">
      <w:pPr>
        <w:widowControl w:val="0"/>
        <w:spacing w:after="120"/>
        <w:rPr>
          <w:sz w:val="22"/>
          <w:szCs w:val="22"/>
        </w:rPr>
      </w:pPr>
      <w:r w:rsidRPr="00604B71">
        <w:rPr>
          <w:sz w:val="22"/>
          <w:szCs w:val="22"/>
        </w:rPr>
        <w:t>GCP</w:t>
      </w:r>
      <w:r w:rsidR="006426AC">
        <w:rPr>
          <w:sz w:val="22"/>
          <w:szCs w:val="22"/>
        </w:rPr>
        <w:t xml:space="preserve"> along with the DLN combustors </w:t>
      </w:r>
      <w:r w:rsidRPr="00604B71">
        <w:rPr>
          <w:sz w:val="22"/>
          <w:szCs w:val="22"/>
        </w:rPr>
        <w:t>do not create negative environmental impacts since these systems are designed</w:t>
      </w:r>
      <w:r>
        <w:rPr>
          <w:sz w:val="22"/>
          <w:szCs w:val="22"/>
        </w:rPr>
        <w:t xml:space="preserve"> </w:t>
      </w:r>
      <w:r w:rsidRPr="00604B71">
        <w:rPr>
          <w:sz w:val="22"/>
          <w:szCs w:val="22"/>
        </w:rPr>
        <w:t>and operated to achieve the optimum balance between CO and NO</w:t>
      </w:r>
      <w:r w:rsidR="005B312A">
        <w:rPr>
          <w:sz w:val="22"/>
          <w:szCs w:val="22"/>
          <w:vertAlign w:val="subscript"/>
        </w:rPr>
        <w:t>X</w:t>
      </w:r>
      <w:r w:rsidRPr="00604B71">
        <w:rPr>
          <w:sz w:val="22"/>
          <w:szCs w:val="22"/>
        </w:rPr>
        <w:t xml:space="preserve"> emissions. </w:t>
      </w:r>
      <w:r w:rsidR="00E71632">
        <w:rPr>
          <w:sz w:val="22"/>
          <w:szCs w:val="22"/>
        </w:rPr>
        <w:t xml:space="preserve"> </w:t>
      </w:r>
      <w:r w:rsidR="006426AC">
        <w:rPr>
          <w:sz w:val="22"/>
          <w:szCs w:val="22"/>
        </w:rPr>
        <w:t>However, t</w:t>
      </w:r>
      <w:r w:rsidRPr="00604B71">
        <w:rPr>
          <w:sz w:val="22"/>
          <w:szCs w:val="22"/>
        </w:rPr>
        <w:t>he installation of an</w:t>
      </w:r>
      <w:r>
        <w:rPr>
          <w:sz w:val="22"/>
          <w:szCs w:val="22"/>
        </w:rPr>
        <w:t xml:space="preserve"> </w:t>
      </w:r>
      <w:r w:rsidRPr="00604B71">
        <w:rPr>
          <w:sz w:val="22"/>
          <w:szCs w:val="22"/>
        </w:rPr>
        <w:t>oxidation catalyst would theoretically reduce potential CO emissions while</w:t>
      </w:r>
      <w:r>
        <w:rPr>
          <w:sz w:val="22"/>
          <w:szCs w:val="22"/>
        </w:rPr>
        <w:t xml:space="preserve"> </w:t>
      </w:r>
      <w:r w:rsidRPr="00604B71">
        <w:rPr>
          <w:sz w:val="22"/>
          <w:szCs w:val="22"/>
        </w:rPr>
        <w:t>causing increased oxidation of SO</w:t>
      </w:r>
      <w:r w:rsidRPr="00495F14">
        <w:rPr>
          <w:sz w:val="22"/>
          <w:szCs w:val="22"/>
          <w:vertAlign w:val="subscript"/>
        </w:rPr>
        <w:t>2</w:t>
      </w:r>
      <w:r w:rsidRPr="00604B71">
        <w:rPr>
          <w:sz w:val="22"/>
          <w:szCs w:val="22"/>
        </w:rPr>
        <w:t xml:space="preserve"> to </w:t>
      </w:r>
      <w:r w:rsidR="006426AC">
        <w:rPr>
          <w:sz w:val="22"/>
          <w:szCs w:val="22"/>
        </w:rPr>
        <w:t xml:space="preserve">SAM </w:t>
      </w:r>
      <w:r w:rsidRPr="00604B71">
        <w:rPr>
          <w:sz w:val="22"/>
          <w:szCs w:val="22"/>
        </w:rPr>
        <w:t>with subsequent partial formation of ammonium</w:t>
      </w:r>
      <w:r>
        <w:rPr>
          <w:sz w:val="22"/>
          <w:szCs w:val="22"/>
        </w:rPr>
        <w:t xml:space="preserve"> </w:t>
      </w:r>
      <w:r w:rsidRPr="00604B71">
        <w:rPr>
          <w:sz w:val="22"/>
          <w:szCs w:val="22"/>
        </w:rPr>
        <w:t>sulfate as PM</w:t>
      </w:r>
      <w:r>
        <w:rPr>
          <w:sz w:val="22"/>
          <w:szCs w:val="22"/>
        </w:rPr>
        <w:t xml:space="preserve">. </w:t>
      </w:r>
      <w:r w:rsidR="00E71632">
        <w:rPr>
          <w:sz w:val="22"/>
          <w:szCs w:val="22"/>
        </w:rPr>
        <w:t xml:space="preserve"> </w:t>
      </w:r>
      <w:r w:rsidR="006426AC">
        <w:rPr>
          <w:sz w:val="22"/>
          <w:szCs w:val="22"/>
        </w:rPr>
        <w:t>The applicant evaluated an emissions increase of</w:t>
      </w:r>
      <w:r w:rsidRPr="00604B71">
        <w:rPr>
          <w:sz w:val="22"/>
          <w:szCs w:val="22"/>
        </w:rPr>
        <w:t xml:space="preserve"> up to 7.7 TPY</w:t>
      </w:r>
      <w:r w:rsidR="006426AC">
        <w:rPr>
          <w:sz w:val="22"/>
          <w:szCs w:val="22"/>
        </w:rPr>
        <w:t xml:space="preserve"> of PM</w:t>
      </w:r>
      <w:r w:rsidRPr="00604B71">
        <w:rPr>
          <w:sz w:val="22"/>
          <w:szCs w:val="22"/>
        </w:rPr>
        <w:t xml:space="preserve"> with a potential increase</w:t>
      </w:r>
      <w:r>
        <w:rPr>
          <w:sz w:val="22"/>
          <w:szCs w:val="22"/>
        </w:rPr>
        <w:t xml:space="preserve"> </w:t>
      </w:r>
      <w:r w:rsidRPr="00604B71">
        <w:rPr>
          <w:sz w:val="22"/>
          <w:szCs w:val="22"/>
        </w:rPr>
        <w:t xml:space="preserve">in </w:t>
      </w:r>
      <w:r w:rsidR="006426AC">
        <w:rPr>
          <w:sz w:val="22"/>
          <w:szCs w:val="22"/>
        </w:rPr>
        <w:t>SAM</w:t>
      </w:r>
      <w:r w:rsidRPr="00604B71">
        <w:rPr>
          <w:sz w:val="22"/>
          <w:szCs w:val="22"/>
        </w:rPr>
        <w:t xml:space="preserve"> emissions of 11.5 TPY due to increased oxidation of SO</w:t>
      </w:r>
      <w:r w:rsidRPr="00495F14">
        <w:rPr>
          <w:sz w:val="22"/>
          <w:szCs w:val="22"/>
          <w:vertAlign w:val="subscript"/>
        </w:rPr>
        <w:t>2</w:t>
      </w:r>
      <w:r w:rsidRPr="00604B71">
        <w:rPr>
          <w:sz w:val="22"/>
          <w:szCs w:val="22"/>
        </w:rPr>
        <w:t xml:space="preserve"> to </w:t>
      </w:r>
      <w:r w:rsidR="00165258">
        <w:rPr>
          <w:sz w:val="22"/>
          <w:szCs w:val="22"/>
        </w:rPr>
        <w:t>SAM</w:t>
      </w:r>
      <w:r w:rsidRPr="00604B71">
        <w:rPr>
          <w:sz w:val="22"/>
          <w:szCs w:val="22"/>
        </w:rPr>
        <w:t>.</w:t>
      </w:r>
    </w:p>
    <w:p w:rsidR="002028DB" w:rsidRPr="007B341C" w:rsidRDefault="00166180" w:rsidP="00564493">
      <w:pPr>
        <w:widowControl w:val="0"/>
        <w:spacing w:after="120"/>
        <w:rPr>
          <w:sz w:val="22"/>
          <w:szCs w:val="22"/>
        </w:rPr>
      </w:pPr>
      <w:r>
        <w:rPr>
          <w:sz w:val="22"/>
          <w:szCs w:val="22"/>
        </w:rPr>
        <w:t xml:space="preserve">In evaluating the energy impacts, the </w:t>
      </w:r>
      <w:r w:rsidR="003029AE" w:rsidRPr="003029AE">
        <w:rPr>
          <w:sz w:val="22"/>
          <w:szCs w:val="22"/>
        </w:rPr>
        <w:t xml:space="preserve">output of the </w:t>
      </w:r>
      <w:r w:rsidR="004B7386">
        <w:rPr>
          <w:sz w:val="22"/>
          <w:szCs w:val="22"/>
        </w:rPr>
        <w:t>combustion turbine</w:t>
      </w:r>
      <w:r w:rsidR="003029AE" w:rsidRPr="003029AE">
        <w:rPr>
          <w:sz w:val="22"/>
          <w:szCs w:val="22"/>
        </w:rPr>
        <w:t xml:space="preserve"> would be reduced by the additional</w:t>
      </w:r>
      <w:r w:rsidR="003029AE">
        <w:rPr>
          <w:sz w:val="22"/>
          <w:szCs w:val="22"/>
        </w:rPr>
        <w:t xml:space="preserve"> </w:t>
      </w:r>
      <w:r w:rsidR="003029AE" w:rsidRPr="003029AE">
        <w:rPr>
          <w:sz w:val="22"/>
          <w:szCs w:val="22"/>
        </w:rPr>
        <w:t>backpressure</w:t>
      </w:r>
      <w:r>
        <w:rPr>
          <w:sz w:val="22"/>
          <w:szCs w:val="22"/>
        </w:rPr>
        <w:t xml:space="preserve"> of an oxidation catalyst system</w:t>
      </w:r>
      <w:r w:rsidR="003029AE" w:rsidRPr="003029AE">
        <w:rPr>
          <w:sz w:val="22"/>
          <w:szCs w:val="22"/>
        </w:rPr>
        <w:t>.</w:t>
      </w:r>
      <w:r w:rsidR="00A560BC">
        <w:rPr>
          <w:sz w:val="22"/>
          <w:szCs w:val="22"/>
        </w:rPr>
        <w:t xml:space="preserve"> </w:t>
      </w:r>
      <w:r w:rsidR="003029AE" w:rsidRPr="003029AE">
        <w:rPr>
          <w:sz w:val="22"/>
          <w:szCs w:val="22"/>
        </w:rPr>
        <w:t xml:space="preserve"> </w:t>
      </w:r>
      <w:r w:rsidR="00A560BC">
        <w:rPr>
          <w:sz w:val="22"/>
          <w:szCs w:val="22"/>
        </w:rPr>
        <w:t>The applicant evaluated a</w:t>
      </w:r>
      <w:r w:rsidR="003029AE" w:rsidRPr="003029AE">
        <w:rPr>
          <w:sz w:val="22"/>
          <w:szCs w:val="22"/>
        </w:rPr>
        <w:t xml:space="preserve"> penalty</w:t>
      </w:r>
      <w:r w:rsidR="00A560BC">
        <w:rPr>
          <w:sz w:val="22"/>
          <w:szCs w:val="22"/>
        </w:rPr>
        <w:t xml:space="preserve"> that</w:t>
      </w:r>
      <w:r w:rsidR="003029AE" w:rsidRPr="003029AE">
        <w:rPr>
          <w:sz w:val="22"/>
          <w:szCs w:val="22"/>
        </w:rPr>
        <w:t xml:space="preserve"> could amount to </w:t>
      </w:r>
      <w:r w:rsidR="00A560BC">
        <w:rPr>
          <w:sz w:val="22"/>
          <w:szCs w:val="22"/>
        </w:rPr>
        <w:t>an estimated</w:t>
      </w:r>
      <w:r w:rsidR="003029AE" w:rsidRPr="003029AE">
        <w:rPr>
          <w:sz w:val="22"/>
          <w:szCs w:val="22"/>
        </w:rPr>
        <w:t xml:space="preserve"> </w:t>
      </w:r>
      <w:r w:rsidR="00564493">
        <w:rPr>
          <w:sz w:val="22"/>
          <w:szCs w:val="22"/>
        </w:rPr>
        <w:t>3,539 M</w:t>
      </w:r>
      <w:r w:rsidR="003029AE" w:rsidRPr="003029AE">
        <w:rPr>
          <w:sz w:val="22"/>
          <w:szCs w:val="22"/>
        </w:rPr>
        <w:t>Wh per year in potential lost generation</w:t>
      </w:r>
      <w:r w:rsidR="00A560BC">
        <w:rPr>
          <w:sz w:val="22"/>
          <w:szCs w:val="22"/>
        </w:rPr>
        <w:t xml:space="preserve"> which is equivalent to</w:t>
      </w:r>
      <w:r w:rsidR="003029AE">
        <w:rPr>
          <w:sz w:val="22"/>
          <w:szCs w:val="22"/>
        </w:rPr>
        <w:t xml:space="preserve"> </w:t>
      </w:r>
      <w:r w:rsidR="00A560BC">
        <w:rPr>
          <w:sz w:val="22"/>
          <w:szCs w:val="22"/>
        </w:rPr>
        <w:t xml:space="preserve">the monthly electrical </w:t>
      </w:r>
      <w:r w:rsidR="003029AE" w:rsidRPr="003029AE">
        <w:rPr>
          <w:sz w:val="22"/>
          <w:szCs w:val="22"/>
        </w:rPr>
        <w:t xml:space="preserve">supply of about </w:t>
      </w:r>
      <w:r w:rsidR="00564493">
        <w:rPr>
          <w:sz w:val="22"/>
          <w:szCs w:val="22"/>
        </w:rPr>
        <w:t>295</w:t>
      </w:r>
      <w:r w:rsidR="003029AE" w:rsidRPr="003029AE">
        <w:rPr>
          <w:sz w:val="22"/>
          <w:szCs w:val="22"/>
        </w:rPr>
        <w:t xml:space="preserve"> residential</w:t>
      </w:r>
      <w:r w:rsidR="003029AE">
        <w:rPr>
          <w:sz w:val="22"/>
          <w:szCs w:val="22"/>
        </w:rPr>
        <w:t xml:space="preserve"> </w:t>
      </w:r>
      <w:r w:rsidR="003029AE" w:rsidRPr="003029AE">
        <w:rPr>
          <w:sz w:val="22"/>
          <w:szCs w:val="22"/>
        </w:rPr>
        <w:t>customers</w:t>
      </w:r>
      <w:r w:rsidR="00564493">
        <w:rPr>
          <w:sz w:val="22"/>
          <w:szCs w:val="22"/>
        </w:rPr>
        <w:t xml:space="preserve">, </w:t>
      </w:r>
      <w:r w:rsidR="00564493" w:rsidRPr="00564493">
        <w:rPr>
          <w:sz w:val="22"/>
          <w:szCs w:val="22"/>
        </w:rPr>
        <w:t>assuming a</w:t>
      </w:r>
      <w:r w:rsidR="00564493">
        <w:rPr>
          <w:sz w:val="22"/>
          <w:szCs w:val="22"/>
        </w:rPr>
        <w:t xml:space="preserve"> </w:t>
      </w:r>
      <w:r w:rsidR="00564493" w:rsidRPr="00564493">
        <w:rPr>
          <w:sz w:val="22"/>
          <w:szCs w:val="22"/>
        </w:rPr>
        <w:t>monthly residential use of 1 MWh per month</w:t>
      </w:r>
      <w:r w:rsidR="003029AE" w:rsidRPr="003029AE">
        <w:rPr>
          <w:sz w:val="22"/>
          <w:szCs w:val="22"/>
        </w:rPr>
        <w:t xml:space="preserve">. </w:t>
      </w:r>
      <w:r w:rsidR="00A560BC">
        <w:rPr>
          <w:sz w:val="22"/>
          <w:szCs w:val="22"/>
        </w:rPr>
        <w:t xml:space="preserve"> </w:t>
      </w:r>
      <w:r w:rsidR="003029AE" w:rsidRPr="003029AE">
        <w:rPr>
          <w:sz w:val="22"/>
          <w:szCs w:val="22"/>
        </w:rPr>
        <w:t xml:space="preserve">To replace this lost energy, an additional </w:t>
      </w:r>
      <w:r w:rsidR="00564493">
        <w:rPr>
          <w:sz w:val="22"/>
          <w:szCs w:val="22"/>
        </w:rPr>
        <w:t>21,942</w:t>
      </w:r>
      <w:r w:rsidR="003029AE" w:rsidRPr="003029AE">
        <w:rPr>
          <w:sz w:val="22"/>
          <w:szCs w:val="22"/>
        </w:rPr>
        <w:t xml:space="preserve"> British thermal units per year (Btu/yr) or</w:t>
      </w:r>
      <w:r w:rsidR="003029AE">
        <w:rPr>
          <w:sz w:val="22"/>
          <w:szCs w:val="22"/>
        </w:rPr>
        <w:t xml:space="preserve"> </w:t>
      </w:r>
      <w:r w:rsidR="003029AE" w:rsidRPr="003029AE">
        <w:rPr>
          <w:sz w:val="22"/>
          <w:szCs w:val="22"/>
        </w:rPr>
        <w:t xml:space="preserve">about </w:t>
      </w:r>
      <w:r w:rsidR="00564493">
        <w:rPr>
          <w:sz w:val="22"/>
          <w:szCs w:val="22"/>
        </w:rPr>
        <w:t>22</w:t>
      </w:r>
      <w:r w:rsidR="003029AE" w:rsidRPr="003029AE">
        <w:rPr>
          <w:sz w:val="22"/>
          <w:szCs w:val="22"/>
        </w:rPr>
        <w:t xml:space="preserve"> million cubic feet per year (ft</w:t>
      </w:r>
      <w:r w:rsidR="003029AE" w:rsidRPr="00A560BC">
        <w:rPr>
          <w:sz w:val="22"/>
          <w:szCs w:val="22"/>
          <w:vertAlign w:val="superscript"/>
        </w:rPr>
        <w:t>3</w:t>
      </w:r>
      <w:r w:rsidR="003029AE" w:rsidRPr="003029AE">
        <w:rPr>
          <w:sz w:val="22"/>
          <w:szCs w:val="22"/>
        </w:rPr>
        <w:t>/y</w:t>
      </w:r>
      <w:r w:rsidR="00A560BC">
        <w:rPr>
          <w:sz w:val="22"/>
          <w:szCs w:val="22"/>
        </w:rPr>
        <w:t>ea</w:t>
      </w:r>
      <w:r w:rsidR="003029AE" w:rsidRPr="003029AE">
        <w:rPr>
          <w:sz w:val="22"/>
          <w:szCs w:val="22"/>
        </w:rPr>
        <w:t>r) of natural gas would be required.</w:t>
      </w:r>
    </w:p>
    <w:p w:rsidR="00584D97" w:rsidRDefault="006C19BE" w:rsidP="00962BE4">
      <w:pPr>
        <w:widowControl w:val="0"/>
        <w:spacing w:after="120"/>
        <w:rPr>
          <w:sz w:val="22"/>
          <w:szCs w:val="22"/>
          <w:u w:val="single"/>
        </w:rPr>
      </w:pPr>
      <w:r w:rsidRPr="006C19BE">
        <w:rPr>
          <w:sz w:val="22"/>
          <w:szCs w:val="22"/>
          <w:u w:val="single"/>
        </w:rPr>
        <w:t>Selection of BACT and Rationale</w:t>
      </w:r>
    </w:p>
    <w:p w:rsidR="007F04BE" w:rsidRDefault="007F04BE" w:rsidP="007F04BE">
      <w:pPr>
        <w:widowControl w:val="0"/>
        <w:spacing w:after="60"/>
        <w:rPr>
          <w:sz w:val="22"/>
          <w:szCs w:val="22"/>
        </w:rPr>
      </w:pPr>
      <w:r>
        <w:rPr>
          <w:sz w:val="22"/>
          <w:szCs w:val="22"/>
        </w:rPr>
        <w:t>The applicant proposes the following BACT determination for the control of CO emissions f</w:t>
      </w:r>
      <w:r w:rsidR="00827D25">
        <w:rPr>
          <w:sz w:val="22"/>
          <w:szCs w:val="22"/>
        </w:rPr>
        <w:t>r</w:t>
      </w:r>
      <w:r w:rsidR="00006151">
        <w:rPr>
          <w:sz w:val="22"/>
          <w:szCs w:val="22"/>
        </w:rPr>
        <w:t>om</w:t>
      </w:r>
      <w:r>
        <w:rPr>
          <w:sz w:val="22"/>
          <w:szCs w:val="22"/>
        </w:rPr>
        <w:t xml:space="preserve"> the proposed CTG:</w:t>
      </w:r>
    </w:p>
    <w:p w:rsidR="007F04BE" w:rsidRDefault="007F04BE" w:rsidP="000E68D7">
      <w:pPr>
        <w:pStyle w:val="BodyText2"/>
        <w:widowControl w:val="0"/>
        <w:numPr>
          <w:ilvl w:val="0"/>
          <w:numId w:val="20"/>
        </w:numPr>
        <w:spacing w:after="60"/>
        <w:jc w:val="left"/>
        <w:rPr>
          <w:szCs w:val="22"/>
        </w:rPr>
      </w:pPr>
      <w:r>
        <w:rPr>
          <w:szCs w:val="22"/>
        </w:rPr>
        <w:t>CO emissions will be controlled using good combustion practices</w:t>
      </w:r>
      <w:r w:rsidR="001D3F32">
        <w:rPr>
          <w:szCs w:val="22"/>
        </w:rPr>
        <w:t>;</w:t>
      </w:r>
    </w:p>
    <w:p w:rsidR="007F04BE" w:rsidRDefault="007F04BE" w:rsidP="000E68D7">
      <w:pPr>
        <w:pStyle w:val="BodyText2"/>
        <w:widowControl w:val="0"/>
        <w:numPr>
          <w:ilvl w:val="0"/>
          <w:numId w:val="20"/>
        </w:numPr>
        <w:spacing w:after="60"/>
        <w:jc w:val="left"/>
        <w:rPr>
          <w:szCs w:val="22"/>
        </w:rPr>
      </w:pPr>
      <w:bookmarkStart w:id="31" w:name="_Hlk510784715"/>
      <w:r>
        <w:rPr>
          <w:szCs w:val="22"/>
        </w:rPr>
        <w:t xml:space="preserve">CO emissions shall be limited to 4.3 ppmvd </w:t>
      </w:r>
      <w:r w:rsidR="00006151">
        <w:rPr>
          <w:szCs w:val="22"/>
        </w:rPr>
        <w:t xml:space="preserve">at </w:t>
      </w:r>
      <w:r>
        <w:rPr>
          <w:szCs w:val="22"/>
        </w:rPr>
        <w:t>15% O</w:t>
      </w:r>
      <w:r>
        <w:rPr>
          <w:szCs w:val="22"/>
          <w:vertAlign w:val="subscript"/>
        </w:rPr>
        <w:t>2</w:t>
      </w:r>
      <w:r>
        <w:rPr>
          <w:szCs w:val="22"/>
        </w:rPr>
        <w:t xml:space="preserve"> at base load (</w:t>
      </w:r>
      <w:r>
        <w:rPr>
          <w:sz w:val="24"/>
          <w:szCs w:val="24"/>
        </w:rPr>
        <w:t>≥</w:t>
      </w:r>
      <w:r>
        <w:rPr>
          <w:szCs w:val="22"/>
        </w:rPr>
        <w:t>90%);</w:t>
      </w:r>
    </w:p>
    <w:bookmarkEnd w:id="31"/>
    <w:p w:rsidR="007F04BE" w:rsidRDefault="007F04BE" w:rsidP="000E68D7">
      <w:pPr>
        <w:pStyle w:val="BodyText2"/>
        <w:widowControl w:val="0"/>
        <w:numPr>
          <w:ilvl w:val="0"/>
          <w:numId w:val="20"/>
        </w:numPr>
        <w:spacing w:after="60"/>
        <w:jc w:val="left"/>
        <w:rPr>
          <w:szCs w:val="22"/>
        </w:rPr>
      </w:pPr>
      <w:r>
        <w:rPr>
          <w:szCs w:val="22"/>
        </w:rPr>
        <w:t xml:space="preserve">CO emissions shall be limited to </w:t>
      </w:r>
      <w:r w:rsidR="00006151">
        <w:rPr>
          <w:szCs w:val="22"/>
        </w:rPr>
        <w:t xml:space="preserve">7.1 ppmvd at </w:t>
      </w:r>
      <w:r>
        <w:rPr>
          <w:szCs w:val="22"/>
        </w:rPr>
        <w:t>15% O</w:t>
      </w:r>
      <w:r>
        <w:rPr>
          <w:szCs w:val="22"/>
          <w:vertAlign w:val="subscript"/>
        </w:rPr>
        <w:t>2</w:t>
      </w:r>
      <w:r>
        <w:rPr>
          <w:szCs w:val="22"/>
        </w:rPr>
        <w:t xml:space="preserve"> at non-base load (&lt;90%);</w:t>
      </w:r>
    </w:p>
    <w:p w:rsidR="00006151" w:rsidRDefault="00006151" w:rsidP="000E68D7">
      <w:pPr>
        <w:pStyle w:val="BodyText2"/>
        <w:widowControl w:val="0"/>
        <w:numPr>
          <w:ilvl w:val="0"/>
          <w:numId w:val="20"/>
        </w:numPr>
        <w:spacing w:after="60"/>
        <w:jc w:val="left"/>
        <w:rPr>
          <w:szCs w:val="22"/>
        </w:rPr>
      </w:pPr>
      <w:r>
        <w:rPr>
          <w:szCs w:val="22"/>
        </w:rPr>
        <w:t>CO emissions shall be limited to 6.5 ppmvd at 15% O</w:t>
      </w:r>
      <w:r>
        <w:rPr>
          <w:szCs w:val="22"/>
          <w:vertAlign w:val="subscript"/>
        </w:rPr>
        <w:t>2</w:t>
      </w:r>
      <w:r>
        <w:rPr>
          <w:szCs w:val="22"/>
        </w:rPr>
        <w:t xml:space="preserve"> with duct firing;</w:t>
      </w:r>
    </w:p>
    <w:p w:rsidR="007F04BE" w:rsidRDefault="007F04BE" w:rsidP="000E68D7">
      <w:pPr>
        <w:pStyle w:val="BodyText2"/>
        <w:widowControl w:val="0"/>
        <w:numPr>
          <w:ilvl w:val="0"/>
          <w:numId w:val="20"/>
        </w:numPr>
        <w:spacing w:after="60"/>
        <w:jc w:val="left"/>
        <w:rPr>
          <w:szCs w:val="22"/>
        </w:rPr>
      </w:pPr>
      <w:r>
        <w:rPr>
          <w:szCs w:val="22"/>
        </w:rPr>
        <w:t xml:space="preserve">Work practice standards that limit CO emissions during startups and shutdowns apply; </w:t>
      </w:r>
      <w:r w:rsidR="001D3F32">
        <w:rPr>
          <w:szCs w:val="22"/>
        </w:rPr>
        <w:t>and</w:t>
      </w:r>
    </w:p>
    <w:p w:rsidR="007F04BE" w:rsidRPr="00006151" w:rsidRDefault="007F04BE" w:rsidP="000E68D7">
      <w:pPr>
        <w:pStyle w:val="ListParagraph"/>
        <w:widowControl w:val="0"/>
        <w:numPr>
          <w:ilvl w:val="0"/>
          <w:numId w:val="20"/>
        </w:numPr>
        <w:spacing w:after="120"/>
        <w:rPr>
          <w:sz w:val="22"/>
          <w:szCs w:val="22"/>
        </w:rPr>
      </w:pPr>
      <w:r w:rsidRPr="00006151">
        <w:rPr>
          <w:sz w:val="22"/>
          <w:szCs w:val="22"/>
        </w:rPr>
        <w:t>Compliance shown by stack test.</w:t>
      </w:r>
    </w:p>
    <w:p w:rsidR="00760F11" w:rsidRPr="00760F11" w:rsidRDefault="00CF2B15" w:rsidP="00760F11">
      <w:pPr>
        <w:widowControl w:val="0"/>
        <w:spacing w:after="120"/>
        <w:rPr>
          <w:sz w:val="22"/>
          <w:szCs w:val="22"/>
        </w:rPr>
      </w:pPr>
      <w:r>
        <w:rPr>
          <w:sz w:val="22"/>
          <w:szCs w:val="22"/>
        </w:rPr>
        <w:t>As seen in</w:t>
      </w:r>
      <w:r w:rsidR="002E77C6">
        <w:rPr>
          <w:sz w:val="22"/>
          <w:szCs w:val="22"/>
        </w:rPr>
        <w:t xml:space="preserve"> </w:t>
      </w:r>
      <w:r w:rsidR="002E77C6" w:rsidRPr="002E77C6">
        <w:rPr>
          <w:rFonts w:ascii="Times New Roman Bold" w:hAnsi="Times New Roman Bold"/>
          <w:b/>
          <w:sz w:val="22"/>
          <w:szCs w:val="22"/>
        </w:rPr>
        <w:fldChar w:fldCharType="begin"/>
      </w:r>
      <w:r w:rsidR="002E77C6" w:rsidRPr="002E77C6">
        <w:rPr>
          <w:rFonts w:ascii="Times New Roman Bold" w:hAnsi="Times New Roman Bold"/>
          <w:b/>
          <w:sz w:val="22"/>
          <w:szCs w:val="22"/>
        </w:rPr>
        <w:instrText xml:space="preserve"> REF _Ref513617953 \h  \* MERGEFORMAT </w:instrText>
      </w:r>
      <w:r w:rsidR="002E77C6" w:rsidRPr="002E77C6">
        <w:rPr>
          <w:rFonts w:ascii="Times New Roman Bold" w:hAnsi="Times New Roman Bold"/>
          <w:b/>
          <w:sz w:val="22"/>
          <w:szCs w:val="22"/>
        </w:rPr>
      </w:r>
      <w:r w:rsidR="002E77C6" w:rsidRPr="002E77C6">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7</w:t>
      </w:r>
      <w:r w:rsidR="002E77C6" w:rsidRPr="002E77C6">
        <w:rPr>
          <w:rFonts w:ascii="Times New Roman Bold" w:hAnsi="Times New Roman Bold"/>
          <w:b/>
          <w:sz w:val="22"/>
          <w:szCs w:val="22"/>
        </w:rPr>
        <w:fldChar w:fldCharType="end"/>
      </w:r>
      <w:r w:rsidRPr="00CF2B15">
        <w:rPr>
          <w:sz w:val="22"/>
          <w:szCs w:val="22"/>
        </w:rPr>
        <w:t xml:space="preserve">, </w:t>
      </w:r>
      <w:r w:rsidR="00603D40" w:rsidRPr="00603D40">
        <w:rPr>
          <w:sz w:val="22"/>
          <w:szCs w:val="22"/>
        </w:rPr>
        <w:t xml:space="preserve">BACT determinations for CO were evaluated for similar combined-cycle projects that were established within the last ten years.  </w:t>
      </w:r>
      <w:r>
        <w:rPr>
          <w:sz w:val="22"/>
          <w:szCs w:val="22"/>
        </w:rPr>
        <w:t xml:space="preserve">The GE </w:t>
      </w:r>
      <w:r w:rsidRPr="00CF2B15">
        <w:rPr>
          <w:sz w:val="22"/>
          <w:szCs w:val="22"/>
        </w:rPr>
        <w:t>7HA.02 turbine</w:t>
      </w:r>
      <w:r>
        <w:rPr>
          <w:sz w:val="22"/>
          <w:szCs w:val="22"/>
        </w:rPr>
        <w:t xml:space="preserve">s have only recently been permitted in Florida.  </w:t>
      </w:r>
      <w:r w:rsidR="008D6474" w:rsidRPr="00603D40">
        <w:rPr>
          <w:sz w:val="22"/>
          <w:szCs w:val="22"/>
        </w:rPr>
        <w:t xml:space="preserve">However, </w:t>
      </w:r>
      <w:r w:rsidR="008D6474">
        <w:rPr>
          <w:sz w:val="22"/>
          <w:szCs w:val="22"/>
        </w:rPr>
        <w:t xml:space="preserve">1-on-1 combined cycle </w:t>
      </w:r>
      <w:r w:rsidR="008D6474" w:rsidRPr="00603D40">
        <w:rPr>
          <w:sz w:val="22"/>
          <w:szCs w:val="22"/>
        </w:rPr>
        <w:t>configuration</w:t>
      </w:r>
      <w:r w:rsidR="008D6474">
        <w:rPr>
          <w:sz w:val="22"/>
          <w:szCs w:val="22"/>
        </w:rPr>
        <w:t>s with duct burners were not</w:t>
      </w:r>
      <w:r w:rsidR="008D6474" w:rsidRPr="00603D40">
        <w:rPr>
          <w:sz w:val="22"/>
          <w:szCs w:val="22"/>
        </w:rPr>
        <w:t xml:space="preserve"> found.</w:t>
      </w:r>
      <w:r w:rsidR="008D6474">
        <w:rPr>
          <w:sz w:val="22"/>
          <w:szCs w:val="22"/>
        </w:rPr>
        <w:t xml:space="preserve">  </w:t>
      </w:r>
      <w:r w:rsidR="009F4147">
        <w:rPr>
          <w:sz w:val="22"/>
          <w:szCs w:val="22"/>
        </w:rPr>
        <w:t>G</w:t>
      </w:r>
      <w:r w:rsidR="00760F11" w:rsidRPr="00760F11">
        <w:rPr>
          <w:sz w:val="22"/>
          <w:szCs w:val="22"/>
        </w:rPr>
        <w:t>iven the lack of operating history of the 7HA.02 turbine, it is reasonable to allow some accommodation for this rather new turbine technology.</w:t>
      </w:r>
    </w:p>
    <w:p w:rsidR="003C6F2D" w:rsidRDefault="002E77C6" w:rsidP="002E77C6">
      <w:pPr>
        <w:pStyle w:val="Caption"/>
        <w:spacing w:before="0"/>
        <w:jc w:val="center"/>
      </w:pPr>
      <w:bookmarkStart w:id="32" w:name="_Ref513617953"/>
      <w:r>
        <w:t xml:space="preserve">Table </w:t>
      </w:r>
      <w:fldSimple w:instr=" SEQ Table \* ARABIC ">
        <w:r w:rsidR="007204D0">
          <w:rPr>
            <w:noProof/>
          </w:rPr>
          <w:t>7</w:t>
        </w:r>
      </w:fldSimple>
      <w:bookmarkEnd w:id="32"/>
      <w:r>
        <w:t xml:space="preserve"> - </w:t>
      </w:r>
      <w:r w:rsidR="003C6F2D">
        <w:rPr>
          <w:szCs w:val="22"/>
        </w:rPr>
        <w:t xml:space="preserve">RBLC BACT Determinations for </w:t>
      </w:r>
      <w:r w:rsidR="003C6F2D" w:rsidRPr="00FD13F6">
        <w:rPr>
          <w:szCs w:val="22"/>
        </w:rPr>
        <w:t>CO</w:t>
      </w:r>
      <w:r w:rsidR="003C6F2D">
        <w:rPr>
          <w:szCs w:val="22"/>
        </w:rPr>
        <w:t xml:space="preserve"> for Natural Gas-Fired Combustion Turbines.</w:t>
      </w:r>
    </w:p>
    <w:tbl>
      <w:tblPr>
        <w:tblStyle w:val="TableGrid"/>
        <w:tblW w:w="9727" w:type="dxa"/>
        <w:tblInd w:w="108" w:type="dxa"/>
        <w:tblLook w:val="04A0" w:firstRow="1" w:lastRow="0" w:firstColumn="1" w:lastColumn="0" w:noHBand="0" w:noVBand="1"/>
      </w:tblPr>
      <w:tblGrid>
        <w:gridCol w:w="1129"/>
        <w:gridCol w:w="1165"/>
        <w:gridCol w:w="1431"/>
        <w:gridCol w:w="1521"/>
        <w:gridCol w:w="1252"/>
        <w:gridCol w:w="1611"/>
        <w:gridCol w:w="1618"/>
      </w:tblGrid>
      <w:tr w:rsidR="003C6F2D" w:rsidRPr="00E8321C" w:rsidTr="00F62677">
        <w:trPr>
          <w:trHeight w:val="375"/>
        </w:trPr>
        <w:tc>
          <w:tcPr>
            <w:tcW w:w="1129" w:type="dxa"/>
            <w:tcBorders>
              <w:top w:val="single" w:sz="12" w:space="0" w:color="auto"/>
              <w:left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Pr>
                <w:b/>
                <w:sz w:val="20"/>
              </w:rPr>
              <w:t>RBLC ID</w:t>
            </w:r>
          </w:p>
        </w:tc>
        <w:tc>
          <w:tcPr>
            <w:tcW w:w="1165" w:type="dxa"/>
            <w:tcBorders>
              <w:top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sidRPr="00E8321C">
              <w:rPr>
                <w:b/>
                <w:sz w:val="20"/>
              </w:rPr>
              <w:t>Date</w:t>
            </w:r>
          </w:p>
        </w:tc>
        <w:tc>
          <w:tcPr>
            <w:tcW w:w="1431" w:type="dxa"/>
            <w:tcBorders>
              <w:top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sidRPr="00E8321C">
              <w:rPr>
                <w:b/>
                <w:sz w:val="20"/>
              </w:rPr>
              <w:t>Source Type</w:t>
            </w:r>
          </w:p>
        </w:tc>
        <w:tc>
          <w:tcPr>
            <w:tcW w:w="1521" w:type="dxa"/>
            <w:tcBorders>
              <w:top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sidRPr="00E8321C">
              <w:rPr>
                <w:b/>
                <w:sz w:val="20"/>
              </w:rPr>
              <w:t>Heat Input or MW Rating</w:t>
            </w:r>
          </w:p>
        </w:tc>
        <w:tc>
          <w:tcPr>
            <w:tcW w:w="1252" w:type="dxa"/>
            <w:tcBorders>
              <w:top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Pr>
                <w:b/>
                <w:sz w:val="20"/>
              </w:rPr>
              <w:t>CO</w:t>
            </w:r>
            <w:r w:rsidRPr="00E8321C">
              <w:rPr>
                <w:b/>
                <w:sz w:val="20"/>
              </w:rPr>
              <w:t xml:space="preserve"> Limit</w:t>
            </w:r>
          </w:p>
        </w:tc>
        <w:tc>
          <w:tcPr>
            <w:tcW w:w="1611" w:type="dxa"/>
            <w:tcBorders>
              <w:top w:val="single" w:sz="12" w:space="0" w:color="auto"/>
              <w:bottom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sidRPr="00E8321C">
              <w:rPr>
                <w:b/>
                <w:sz w:val="20"/>
              </w:rPr>
              <w:t>Averaging Period</w:t>
            </w:r>
          </w:p>
        </w:tc>
        <w:tc>
          <w:tcPr>
            <w:tcW w:w="1616" w:type="dxa"/>
            <w:tcBorders>
              <w:top w:val="single" w:sz="12" w:space="0" w:color="auto"/>
              <w:bottom w:val="single" w:sz="12" w:space="0" w:color="auto"/>
              <w:right w:val="single" w:sz="12" w:space="0" w:color="auto"/>
            </w:tcBorders>
            <w:shd w:val="clear" w:color="auto" w:fill="B8CCE4" w:themeFill="accent1" w:themeFillTint="66"/>
            <w:vAlign w:val="center"/>
          </w:tcPr>
          <w:p w:rsidR="003C6F2D" w:rsidRPr="00E8321C" w:rsidRDefault="003C6F2D" w:rsidP="001C1628">
            <w:pPr>
              <w:pStyle w:val="BodyText2"/>
              <w:widowControl w:val="0"/>
              <w:numPr>
                <w:ilvl w:val="0"/>
                <w:numId w:val="0"/>
              </w:numPr>
              <w:spacing w:after="0"/>
              <w:jc w:val="center"/>
              <w:rPr>
                <w:b/>
                <w:sz w:val="20"/>
              </w:rPr>
            </w:pPr>
            <w:r w:rsidRPr="00E8321C">
              <w:rPr>
                <w:b/>
                <w:sz w:val="20"/>
              </w:rPr>
              <w:t>Control Method</w:t>
            </w:r>
          </w:p>
        </w:tc>
      </w:tr>
      <w:tr w:rsidR="003C6F2D" w:rsidRPr="00E8321C" w:rsidTr="00F62677">
        <w:trPr>
          <w:trHeight w:val="690"/>
        </w:trPr>
        <w:tc>
          <w:tcPr>
            <w:tcW w:w="1129" w:type="dxa"/>
            <w:tcBorders>
              <w:lef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FL-0356</w:t>
            </w:r>
          </w:p>
        </w:tc>
        <w:tc>
          <w:tcPr>
            <w:tcW w:w="1165"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03/09/2016</w:t>
            </w:r>
          </w:p>
        </w:tc>
        <w:tc>
          <w:tcPr>
            <w:tcW w:w="1431"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3-on-1 CCCT with HRSG</w:t>
            </w:r>
          </w:p>
        </w:tc>
        <w:tc>
          <w:tcPr>
            <w:tcW w:w="1521"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3,096 MMBtu/hour</w:t>
            </w:r>
          </w:p>
        </w:tc>
        <w:tc>
          <w:tcPr>
            <w:tcW w:w="1252"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4.3 ppmvd @ 15%O</w:t>
            </w:r>
            <w:r w:rsidRPr="00E8321C">
              <w:rPr>
                <w:sz w:val="20"/>
                <w:vertAlign w:val="subscript"/>
              </w:rPr>
              <w:t>2</w:t>
            </w:r>
            <w:r w:rsidR="009110D9">
              <w:rPr>
                <w:b/>
                <w:sz w:val="24"/>
                <w:szCs w:val="24"/>
                <w:vertAlign w:val="superscript"/>
              </w:rPr>
              <w:t xml:space="preserve"> </w:t>
            </w:r>
            <w:r w:rsidR="009110D9">
              <w:rPr>
                <w:b/>
                <w:sz w:val="24"/>
                <w:szCs w:val="24"/>
                <w:vertAlign w:val="superscript"/>
              </w:rPr>
              <w:fldChar w:fldCharType="begin"/>
            </w:r>
            <w:r w:rsidR="009110D9">
              <w:rPr>
                <w:b/>
                <w:sz w:val="24"/>
                <w:szCs w:val="24"/>
                <w:vertAlign w:val="superscript"/>
              </w:rPr>
              <w:instrText xml:space="preserve"> REF _Ref511304320 \r \h </w:instrText>
            </w:r>
            <w:r w:rsidR="00EB21DE">
              <w:rPr>
                <w:b/>
                <w:sz w:val="24"/>
                <w:szCs w:val="24"/>
                <w:vertAlign w:val="superscript"/>
              </w:rPr>
              <w:instrText xml:space="preserve"> \* MERGEFORMAT </w:instrText>
            </w:r>
            <w:r w:rsidR="009110D9">
              <w:rPr>
                <w:b/>
                <w:sz w:val="24"/>
                <w:szCs w:val="24"/>
                <w:vertAlign w:val="superscript"/>
              </w:rPr>
            </w:r>
            <w:r w:rsidR="009110D9">
              <w:rPr>
                <w:b/>
                <w:sz w:val="24"/>
                <w:szCs w:val="24"/>
                <w:vertAlign w:val="superscript"/>
              </w:rPr>
              <w:fldChar w:fldCharType="separate"/>
            </w:r>
            <w:r w:rsidR="003E3FA4">
              <w:rPr>
                <w:b/>
                <w:sz w:val="24"/>
                <w:szCs w:val="24"/>
                <w:vertAlign w:val="superscript"/>
              </w:rPr>
              <w:t>b</w:t>
            </w:r>
            <w:r w:rsidR="009110D9">
              <w:rPr>
                <w:b/>
                <w:sz w:val="24"/>
                <w:szCs w:val="24"/>
                <w:vertAlign w:val="superscript"/>
              </w:rPr>
              <w:fldChar w:fldCharType="end"/>
            </w:r>
          </w:p>
        </w:tc>
        <w:tc>
          <w:tcPr>
            <w:tcW w:w="1611" w:type="dxa"/>
            <w:vMerge w:val="restart"/>
            <w:vAlign w:val="center"/>
          </w:tcPr>
          <w:p w:rsidR="003C6F2D" w:rsidRPr="00E8321C" w:rsidRDefault="003C6F2D" w:rsidP="001C1628">
            <w:pPr>
              <w:pStyle w:val="BodyText2"/>
              <w:widowControl w:val="0"/>
              <w:spacing w:after="0"/>
              <w:jc w:val="center"/>
              <w:rPr>
                <w:sz w:val="20"/>
              </w:rPr>
            </w:pPr>
            <w:r w:rsidRPr="00E8321C">
              <w:rPr>
                <w:sz w:val="20"/>
              </w:rPr>
              <w:t>Initial and annual stack tests (3 1-hr runs)</w:t>
            </w:r>
          </w:p>
        </w:tc>
        <w:tc>
          <w:tcPr>
            <w:tcW w:w="1616" w:type="dxa"/>
            <w:vMerge w:val="restart"/>
            <w:tcBorders>
              <w:righ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Pr>
                <w:sz w:val="20"/>
              </w:rPr>
              <w:t>GCP</w:t>
            </w:r>
          </w:p>
        </w:tc>
      </w:tr>
      <w:tr w:rsidR="003C6F2D" w:rsidRPr="00E8321C" w:rsidTr="00F62677">
        <w:trPr>
          <w:trHeight w:val="710"/>
        </w:trPr>
        <w:tc>
          <w:tcPr>
            <w:tcW w:w="1129" w:type="dxa"/>
            <w:tcBorders>
              <w:lef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Pr>
                <w:sz w:val="20"/>
              </w:rPr>
              <w:t>FL-0363</w:t>
            </w:r>
          </w:p>
        </w:tc>
        <w:tc>
          <w:tcPr>
            <w:tcW w:w="1165" w:type="dxa"/>
            <w:vAlign w:val="center"/>
          </w:tcPr>
          <w:p w:rsidR="003C6F2D" w:rsidRPr="00E8321C" w:rsidRDefault="003C6F2D" w:rsidP="001C1628">
            <w:pPr>
              <w:pStyle w:val="BodyText2"/>
              <w:widowControl w:val="0"/>
              <w:numPr>
                <w:ilvl w:val="0"/>
                <w:numId w:val="0"/>
              </w:numPr>
              <w:spacing w:after="0"/>
              <w:jc w:val="center"/>
              <w:rPr>
                <w:sz w:val="20"/>
              </w:rPr>
            </w:pPr>
            <w:r>
              <w:rPr>
                <w:sz w:val="20"/>
              </w:rPr>
              <w:t>12/04/2017</w:t>
            </w:r>
          </w:p>
        </w:tc>
        <w:tc>
          <w:tcPr>
            <w:tcW w:w="1431" w:type="dxa"/>
            <w:vAlign w:val="center"/>
          </w:tcPr>
          <w:p w:rsidR="003C6F2D" w:rsidRPr="00E8321C" w:rsidRDefault="003C6F2D" w:rsidP="001C1628">
            <w:pPr>
              <w:pStyle w:val="BodyText2"/>
              <w:widowControl w:val="0"/>
              <w:numPr>
                <w:ilvl w:val="0"/>
                <w:numId w:val="0"/>
              </w:numPr>
              <w:spacing w:after="0"/>
              <w:jc w:val="center"/>
              <w:rPr>
                <w:sz w:val="20"/>
              </w:rPr>
            </w:pPr>
            <w:r>
              <w:rPr>
                <w:sz w:val="20"/>
              </w:rPr>
              <w:t>2-on-1 CCCT with HRSG</w:t>
            </w:r>
          </w:p>
        </w:tc>
        <w:tc>
          <w:tcPr>
            <w:tcW w:w="1521" w:type="dxa"/>
            <w:vAlign w:val="center"/>
          </w:tcPr>
          <w:p w:rsidR="003C6F2D" w:rsidRPr="00E8321C" w:rsidRDefault="003C6F2D" w:rsidP="001C1628">
            <w:pPr>
              <w:pStyle w:val="BodyText2"/>
              <w:widowControl w:val="0"/>
              <w:numPr>
                <w:ilvl w:val="0"/>
                <w:numId w:val="0"/>
              </w:numPr>
              <w:spacing w:after="0"/>
              <w:jc w:val="center"/>
              <w:rPr>
                <w:sz w:val="20"/>
              </w:rPr>
            </w:pPr>
            <w:r>
              <w:rPr>
                <w:sz w:val="20"/>
              </w:rPr>
              <w:t>1,200 MW</w:t>
            </w:r>
          </w:p>
        </w:tc>
        <w:tc>
          <w:tcPr>
            <w:tcW w:w="1252" w:type="dxa"/>
            <w:vAlign w:val="center"/>
          </w:tcPr>
          <w:p w:rsidR="003C6F2D" w:rsidRPr="009F4181" w:rsidRDefault="003C6F2D" w:rsidP="001C1628">
            <w:pPr>
              <w:pStyle w:val="BodyText2"/>
              <w:widowControl w:val="0"/>
              <w:numPr>
                <w:ilvl w:val="0"/>
                <w:numId w:val="0"/>
              </w:numPr>
              <w:spacing w:after="0"/>
              <w:jc w:val="center"/>
              <w:rPr>
                <w:b/>
                <w:sz w:val="20"/>
                <w:vertAlign w:val="superscript"/>
              </w:rPr>
            </w:pPr>
            <w:r>
              <w:rPr>
                <w:sz w:val="20"/>
              </w:rPr>
              <w:t>4.3 ppmvd @ 15%O</w:t>
            </w:r>
            <w:r>
              <w:rPr>
                <w:sz w:val="20"/>
                <w:vertAlign w:val="subscript"/>
              </w:rPr>
              <w:t>2</w:t>
            </w:r>
            <w:r w:rsidR="009110D9">
              <w:rPr>
                <w:b/>
                <w:sz w:val="24"/>
                <w:szCs w:val="24"/>
                <w:vertAlign w:val="superscript"/>
              </w:rPr>
              <w:t xml:space="preserve"> </w:t>
            </w:r>
            <w:r w:rsidR="009110D9">
              <w:rPr>
                <w:b/>
                <w:sz w:val="24"/>
                <w:szCs w:val="24"/>
                <w:vertAlign w:val="superscript"/>
              </w:rPr>
              <w:fldChar w:fldCharType="begin"/>
            </w:r>
            <w:r w:rsidR="009110D9">
              <w:rPr>
                <w:b/>
                <w:sz w:val="24"/>
                <w:szCs w:val="24"/>
                <w:vertAlign w:val="superscript"/>
              </w:rPr>
              <w:instrText xml:space="preserve"> REF _Ref511304320 \r \h </w:instrText>
            </w:r>
            <w:r w:rsidR="00EB21DE">
              <w:rPr>
                <w:b/>
                <w:sz w:val="24"/>
                <w:szCs w:val="24"/>
                <w:vertAlign w:val="superscript"/>
              </w:rPr>
              <w:instrText xml:space="preserve"> \* MERGEFORMAT </w:instrText>
            </w:r>
            <w:r w:rsidR="009110D9">
              <w:rPr>
                <w:b/>
                <w:sz w:val="24"/>
                <w:szCs w:val="24"/>
                <w:vertAlign w:val="superscript"/>
              </w:rPr>
            </w:r>
            <w:r w:rsidR="009110D9">
              <w:rPr>
                <w:b/>
                <w:sz w:val="24"/>
                <w:szCs w:val="24"/>
                <w:vertAlign w:val="superscript"/>
              </w:rPr>
              <w:fldChar w:fldCharType="separate"/>
            </w:r>
            <w:r w:rsidR="003E3FA4">
              <w:rPr>
                <w:b/>
                <w:sz w:val="24"/>
                <w:szCs w:val="24"/>
                <w:vertAlign w:val="superscript"/>
              </w:rPr>
              <w:t>b</w:t>
            </w:r>
            <w:r w:rsidR="009110D9">
              <w:rPr>
                <w:b/>
                <w:sz w:val="24"/>
                <w:szCs w:val="24"/>
                <w:vertAlign w:val="superscript"/>
              </w:rPr>
              <w:fldChar w:fldCharType="end"/>
            </w:r>
          </w:p>
        </w:tc>
        <w:tc>
          <w:tcPr>
            <w:tcW w:w="1611" w:type="dxa"/>
            <w:vMerge/>
            <w:vAlign w:val="center"/>
          </w:tcPr>
          <w:p w:rsidR="003C6F2D" w:rsidRPr="00E8321C" w:rsidRDefault="003C6F2D" w:rsidP="001C1628">
            <w:pPr>
              <w:pStyle w:val="BodyText2"/>
              <w:widowControl w:val="0"/>
              <w:numPr>
                <w:ilvl w:val="0"/>
                <w:numId w:val="0"/>
              </w:numPr>
              <w:spacing w:after="0"/>
              <w:jc w:val="center"/>
              <w:rPr>
                <w:sz w:val="20"/>
              </w:rPr>
            </w:pPr>
          </w:p>
        </w:tc>
        <w:tc>
          <w:tcPr>
            <w:tcW w:w="1616" w:type="dxa"/>
            <w:vMerge/>
            <w:tcBorders>
              <w:righ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p>
        </w:tc>
      </w:tr>
      <w:tr w:rsidR="003C6F2D" w:rsidRPr="00E8321C" w:rsidTr="00C13741">
        <w:trPr>
          <w:trHeight w:val="636"/>
        </w:trPr>
        <w:tc>
          <w:tcPr>
            <w:tcW w:w="1129" w:type="dxa"/>
            <w:tcBorders>
              <w:lef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GA-0138</w:t>
            </w:r>
          </w:p>
        </w:tc>
        <w:tc>
          <w:tcPr>
            <w:tcW w:w="1165"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04/08/2010</w:t>
            </w:r>
          </w:p>
        </w:tc>
        <w:tc>
          <w:tcPr>
            <w:tcW w:w="1431"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2-on-1 CCCT with HRSG</w:t>
            </w:r>
          </w:p>
        </w:tc>
        <w:tc>
          <w:tcPr>
            <w:tcW w:w="1521"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600 MW</w:t>
            </w:r>
          </w:p>
        </w:tc>
        <w:tc>
          <w:tcPr>
            <w:tcW w:w="1252" w:type="dxa"/>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3.2 ppmvd @ 15%O</w:t>
            </w:r>
            <w:r w:rsidRPr="00E8321C">
              <w:rPr>
                <w:sz w:val="20"/>
                <w:vertAlign w:val="subscript"/>
              </w:rPr>
              <w:t>2</w:t>
            </w:r>
            <w:r w:rsidR="009110D9">
              <w:rPr>
                <w:b/>
                <w:sz w:val="24"/>
                <w:szCs w:val="24"/>
                <w:vertAlign w:val="superscript"/>
              </w:rPr>
              <w:t xml:space="preserve"> </w:t>
            </w:r>
            <w:r w:rsidR="009110D9">
              <w:rPr>
                <w:b/>
                <w:sz w:val="24"/>
                <w:szCs w:val="24"/>
                <w:vertAlign w:val="superscript"/>
              </w:rPr>
              <w:fldChar w:fldCharType="begin"/>
            </w:r>
            <w:r w:rsidR="009110D9">
              <w:rPr>
                <w:b/>
                <w:sz w:val="24"/>
                <w:szCs w:val="24"/>
                <w:vertAlign w:val="superscript"/>
              </w:rPr>
              <w:instrText xml:space="preserve"> REF _Ref511304296 \r \h </w:instrText>
            </w:r>
            <w:r w:rsidR="00EB21DE">
              <w:rPr>
                <w:b/>
                <w:sz w:val="24"/>
                <w:szCs w:val="24"/>
                <w:vertAlign w:val="superscript"/>
              </w:rPr>
              <w:instrText xml:space="preserve"> \* MERGEFORMAT </w:instrText>
            </w:r>
            <w:r w:rsidR="009110D9">
              <w:rPr>
                <w:b/>
                <w:sz w:val="24"/>
                <w:szCs w:val="24"/>
                <w:vertAlign w:val="superscript"/>
              </w:rPr>
            </w:r>
            <w:r w:rsidR="009110D9">
              <w:rPr>
                <w:b/>
                <w:sz w:val="24"/>
                <w:szCs w:val="24"/>
                <w:vertAlign w:val="superscript"/>
              </w:rPr>
              <w:fldChar w:fldCharType="separate"/>
            </w:r>
            <w:r w:rsidR="003E3FA4">
              <w:rPr>
                <w:b/>
                <w:sz w:val="24"/>
                <w:szCs w:val="24"/>
                <w:vertAlign w:val="superscript"/>
              </w:rPr>
              <w:t>a</w:t>
            </w:r>
            <w:r w:rsidR="009110D9">
              <w:rPr>
                <w:b/>
                <w:sz w:val="24"/>
                <w:szCs w:val="24"/>
                <w:vertAlign w:val="superscript"/>
              </w:rPr>
              <w:fldChar w:fldCharType="end"/>
            </w:r>
          </w:p>
        </w:tc>
        <w:tc>
          <w:tcPr>
            <w:tcW w:w="1611" w:type="dxa"/>
            <w:vMerge w:val="restart"/>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3-hr rolling average CEMS</w:t>
            </w:r>
          </w:p>
        </w:tc>
        <w:tc>
          <w:tcPr>
            <w:tcW w:w="1616" w:type="dxa"/>
            <w:vMerge w:val="restart"/>
            <w:tcBorders>
              <w:right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Oxidation catalyst</w:t>
            </w:r>
          </w:p>
        </w:tc>
      </w:tr>
      <w:tr w:rsidR="003C6F2D" w:rsidRPr="00E8321C" w:rsidTr="00C13741">
        <w:trPr>
          <w:trHeight w:val="820"/>
        </w:trPr>
        <w:tc>
          <w:tcPr>
            <w:tcW w:w="1129" w:type="dxa"/>
            <w:tcBorders>
              <w:left w:val="single" w:sz="12" w:space="0" w:color="auto"/>
              <w:bottom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TX-0730</w:t>
            </w:r>
          </w:p>
        </w:tc>
        <w:tc>
          <w:tcPr>
            <w:tcW w:w="1165" w:type="dxa"/>
            <w:tcBorders>
              <w:bottom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04/01/2015</w:t>
            </w:r>
          </w:p>
        </w:tc>
        <w:tc>
          <w:tcPr>
            <w:tcW w:w="1431" w:type="dxa"/>
            <w:tcBorders>
              <w:bottom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2-on-1 CCCT with HRSG</w:t>
            </w:r>
          </w:p>
        </w:tc>
        <w:tc>
          <w:tcPr>
            <w:tcW w:w="1521" w:type="dxa"/>
            <w:tcBorders>
              <w:bottom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r w:rsidRPr="00E8321C">
              <w:rPr>
                <w:sz w:val="20"/>
              </w:rPr>
              <w:t>1,100 MW</w:t>
            </w:r>
          </w:p>
        </w:tc>
        <w:tc>
          <w:tcPr>
            <w:tcW w:w="1252" w:type="dxa"/>
            <w:tcBorders>
              <w:bottom w:val="single" w:sz="12" w:space="0" w:color="auto"/>
            </w:tcBorders>
            <w:vAlign w:val="center"/>
          </w:tcPr>
          <w:p w:rsidR="003C6F2D" w:rsidRPr="00E8321C" w:rsidRDefault="003C6F2D" w:rsidP="001C1628">
            <w:pPr>
              <w:pStyle w:val="BodyText2"/>
              <w:widowControl w:val="0"/>
              <w:numPr>
                <w:ilvl w:val="0"/>
                <w:numId w:val="0"/>
              </w:numPr>
              <w:spacing w:after="0"/>
              <w:jc w:val="center"/>
              <w:rPr>
                <w:b/>
                <w:sz w:val="20"/>
              </w:rPr>
            </w:pPr>
            <w:r w:rsidRPr="00E8321C">
              <w:rPr>
                <w:sz w:val="20"/>
              </w:rPr>
              <w:t>4.0 ppmvd @ 15%O</w:t>
            </w:r>
            <w:r w:rsidRPr="00E8321C">
              <w:rPr>
                <w:sz w:val="20"/>
                <w:vertAlign w:val="subscript"/>
              </w:rPr>
              <w:t>2</w:t>
            </w:r>
            <w:r w:rsidR="009110D9">
              <w:rPr>
                <w:b/>
                <w:sz w:val="24"/>
                <w:szCs w:val="24"/>
                <w:vertAlign w:val="superscript"/>
              </w:rPr>
              <w:t xml:space="preserve"> </w:t>
            </w:r>
            <w:r w:rsidR="009110D9">
              <w:rPr>
                <w:b/>
                <w:sz w:val="24"/>
                <w:szCs w:val="24"/>
                <w:vertAlign w:val="superscript"/>
              </w:rPr>
              <w:fldChar w:fldCharType="begin"/>
            </w:r>
            <w:r w:rsidR="009110D9">
              <w:rPr>
                <w:b/>
                <w:sz w:val="24"/>
                <w:szCs w:val="24"/>
                <w:vertAlign w:val="superscript"/>
              </w:rPr>
              <w:instrText xml:space="preserve"> REF _Ref511304296 \r \h </w:instrText>
            </w:r>
            <w:r w:rsidR="00EB21DE">
              <w:rPr>
                <w:b/>
                <w:sz w:val="24"/>
                <w:szCs w:val="24"/>
                <w:vertAlign w:val="superscript"/>
              </w:rPr>
              <w:instrText xml:space="preserve"> \* MERGEFORMAT </w:instrText>
            </w:r>
            <w:r w:rsidR="009110D9">
              <w:rPr>
                <w:b/>
                <w:sz w:val="24"/>
                <w:szCs w:val="24"/>
                <w:vertAlign w:val="superscript"/>
              </w:rPr>
            </w:r>
            <w:r w:rsidR="009110D9">
              <w:rPr>
                <w:b/>
                <w:sz w:val="24"/>
                <w:szCs w:val="24"/>
                <w:vertAlign w:val="superscript"/>
              </w:rPr>
              <w:fldChar w:fldCharType="separate"/>
            </w:r>
            <w:r w:rsidR="003E3FA4">
              <w:rPr>
                <w:b/>
                <w:sz w:val="24"/>
                <w:szCs w:val="24"/>
                <w:vertAlign w:val="superscript"/>
              </w:rPr>
              <w:t>a</w:t>
            </w:r>
            <w:r w:rsidR="009110D9">
              <w:rPr>
                <w:b/>
                <w:sz w:val="24"/>
                <w:szCs w:val="24"/>
                <w:vertAlign w:val="superscript"/>
              </w:rPr>
              <w:fldChar w:fldCharType="end"/>
            </w:r>
          </w:p>
        </w:tc>
        <w:tc>
          <w:tcPr>
            <w:tcW w:w="1611" w:type="dxa"/>
            <w:vMerge/>
            <w:tcBorders>
              <w:bottom w:val="single" w:sz="12" w:space="0" w:color="auto"/>
            </w:tcBorders>
            <w:vAlign w:val="center"/>
          </w:tcPr>
          <w:p w:rsidR="003C6F2D" w:rsidRPr="00E8321C" w:rsidRDefault="003C6F2D" w:rsidP="001C1628">
            <w:pPr>
              <w:pStyle w:val="BodyText2"/>
              <w:widowControl w:val="0"/>
              <w:numPr>
                <w:ilvl w:val="0"/>
                <w:numId w:val="0"/>
              </w:numPr>
              <w:spacing w:after="0"/>
              <w:jc w:val="center"/>
              <w:rPr>
                <w:sz w:val="20"/>
              </w:rPr>
            </w:pPr>
          </w:p>
        </w:tc>
        <w:tc>
          <w:tcPr>
            <w:tcW w:w="1616" w:type="dxa"/>
            <w:vMerge/>
            <w:tcBorders>
              <w:bottom w:val="single" w:sz="12" w:space="0" w:color="auto"/>
              <w:right w:val="single" w:sz="12" w:space="0" w:color="auto"/>
            </w:tcBorders>
            <w:vAlign w:val="center"/>
          </w:tcPr>
          <w:p w:rsidR="003C6F2D" w:rsidRPr="00E8321C" w:rsidRDefault="003C6F2D" w:rsidP="001C1628">
            <w:pPr>
              <w:pStyle w:val="BodyText2"/>
              <w:widowControl w:val="0"/>
              <w:numPr>
                <w:ilvl w:val="0"/>
                <w:numId w:val="0"/>
              </w:numPr>
              <w:spacing w:after="0"/>
              <w:rPr>
                <w:sz w:val="20"/>
              </w:rPr>
            </w:pPr>
          </w:p>
        </w:tc>
      </w:tr>
      <w:tr w:rsidR="003C6F2D" w:rsidRPr="00E8321C" w:rsidTr="00C13741">
        <w:trPr>
          <w:trHeight w:val="445"/>
        </w:trPr>
        <w:tc>
          <w:tcPr>
            <w:tcW w:w="9727" w:type="dxa"/>
            <w:gridSpan w:val="7"/>
            <w:tcBorders>
              <w:top w:val="single" w:sz="12" w:space="0" w:color="auto"/>
              <w:left w:val="single" w:sz="12" w:space="0" w:color="auto"/>
              <w:bottom w:val="single" w:sz="12" w:space="0" w:color="auto"/>
              <w:right w:val="single" w:sz="12" w:space="0" w:color="auto"/>
            </w:tcBorders>
          </w:tcPr>
          <w:p w:rsidR="003C6F2D" w:rsidRPr="004134BE" w:rsidRDefault="003C6F2D" w:rsidP="009110D9">
            <w:pPr>
              <w:pStyle w:val="BodyText2"/>
              <w:widowControl w:val="0"/>
              <w:numPr>
                <w:ilvl w:val="0"/>
                <w:numId w:val="35"/>
              </w:numPr>
              <w:spacing w:after="0"/>
              <w:jc w:val="left"/>
              <w:rPr>
                <w:sz w:val="18"/>
              </w:rPr>
            </w:pPr>
            <w:bookmarkStart w:id="33" w:name="_Ref511304296"/>
            <w:r w:rsidRPr="004134BE">
              <w:rPr>
                <w:sz w:val="18"/>
              </w:rPr>
              <w:t>Limit is for combined cycle mode of operation with duct burner firing.</w:t>
            </w:r>
            <w:bookmarkEnd w:id="33"/>
          </w:p>
          <w:p w:rsidR="003C6F2D" w:rsidRPr="004134BE" w:rsidRDefault="003C6F2D" w:rsidP="009110D9">
            <w:pPr>
              <w:pStyle w:val="BodyText2"/>
              <w:widowControl w:val="0"/>
              <w:numPr>
                <w:ilvl w:val="0"/>
                <w:numId w:val="35"/>
              </w:numPr>
              <w:spacing w:after="0"/>
              <w:jc w:val="left"/>
              <w:rPr>
                <w:sz w:val="18"/>
              </w:rPr>
            </w:pPr>
            <w:bookmarkStart w:id="34" w:name="_Ref511304320"/>
            <w:r w:rsidRPr="004134BE">
              <w:rPr>
                <w:sz w:val="18"/>
              </w:rPr>
              <w:t>Limit is for turbine loads greater than or equal to 90%.</w:t>
            </w:r>
            <w:bookmarkEnd w:id="34"/>
          </w:p>
        </w:tc>
      </w:tr>
    </w:tbl>
    <w:p w:rsidR="002A6747" w:rsidRPr="002A6747" w:rsidRDefault="00760F11" w:rsidP="003C6F2D">
      <w:pPr>
        <w:widowControl w:val="0"/>
        <w:spacing w:before="120" w:after="120"/>
        <w:rPr>
          <w:sz w:val="22"/>
          <w:szCs w:val="22"/>
          <w:highlight w:val="yellow"/>
        </w:rPr>
      </w:pPr>
      <w:r w:rsidRPr="00760F11">
        <w:rPr>
          <w:sz w:val="22"/>
          <w:szCs w:val="22"/>
        </w:rPr>
        <w:t>Additionally, since no CEMS for CO is proposed, it will be rather difficult to assess CO emissions at low loads.  However, ma</w:t>
      </w:r>
      <w:r w:rsidR="000B17D3">
        <w:rPr>
          <w:sz w:val="22"/>
          <w:szCs w:val="22"/>
        </w:rPr>
        <w:t xml:space="preserve">nufacturer product information </w:t>
      </w:r>
      <w:r w:rsidRPr="00760F11">
        <w:rPr>
          <w:sz w:val="22"/>
          <w:szCs w:val="22"/>
        </w:rPr>
        <w:t xml:space="preserve">shows that emissions limits for the 7HA.02 can be met down to turbine loads of </w:t>
      </w:r>
      <w:r w:rsidR="00EF05A3">
        <w:rPr>
          <w:sz w:val="22"/>
          <w:szCs w:val="22"/>
        </w:rPr>
        <w:t>25</w:t>
      </w:r>
      <w:r w:rsidRPr="00760F11">
        <w:rPr>
          <w:sz w:val="22"/>
          <w:szCs w:val="22"/>
        </w:rPr>
        <w:t xml:space="preserve">%.  Additional non-base-load CO compliance tests will be required, and an additional work practice standard will be included in the permit, prohibiting the operation at a load lower than that load at which compliance with the non-base-load CO limit was achieved, other than during startups, shutdowns, </w:t>
      </w:r>
      <w:r w:rsidR="00EF05A3">
        <w:rPr>
          <w:sz w:val="22"/>
          <w:szCs w:val="22"/>
        </w:rPr>
        <w:t xml:space="preserve">SCR tuning, </w:t>
      </w:r>
      <w:r w:rsidRPr="00760F11">
        <w:rPr>
          <w:sz w:val="22"/>
          <w:szCs w:val="22"/>
        </w:rPr>
        <w:t xml:space="preserve">DLN tuning, and documented malfunctions.  Subsequent non-base-load CO tests will be required annually.  </w:t>
      </w:r>
      <w:r w:rsidR="00597D05">
        <w:rPr>
          <w:sz w:val="22"/>
          <w:szCs w:val="22"/>
        </w:rPr>
        <w:t xml:space="preserve">The Department </w:t>
      </w:r>
      <w:r w:rsidR="00597D05" w:rsidRPr="00597D05">
        <w:rPr>
          <w:sz w:val="22"/>
          <w:szCs w:val="22"/>
        </w:rPr>
        <w:t>determined</w:t>
      </w:r>
      <w:r w:rsidR="00597D05">
        <w:rPr>
          <w:sz w:val="22"/>
          <w:szCs w:val="22"/>
        </w:rPr>
        <w:t xml:space="preserve"> the</w:t>
      </w:r>
      <w:r w:rsidR="00597D05" w:rsidRPr="00597D05">
        <w:rPr>
          <w:sz w:val="22"/>
          <w:szCs w:val="22"/>
        </w:rPr>
        <w:t xml:space="preserve"> efficient combustion design and good operating practices to</w:t>
      </w:r>
      <w:r w:rsidR="00597D05">
        <w:rPr>
          <w:sz w:val="22"/>
          <w:szCs w:val="22"/>
        </w:rPr>
        <w:t xml:space="preserve"> be</w:t>
      </w:r>
      <w:r w:rsidR="00597D05" w:rsidRPr="00597D05">
        <w:rPr>
          <w:sz w:val="22"/>
          <w:szCs w:val="22"/>
        </w:rPr>
        <w:t xml:space="preserve"> represent</w:t>
      </w:r>
      <w:r w:rsidR="00597D05">
        <w:rPr>
          <w:sz w:val="22"/>
          <w:szCs w:val="22"/>
        </w:rPr>
        <w:t>ative of</w:t>
      </w:r>
      <w:r w:rsidR="00597D05" w:rsidRPr="00597D05">
        <w:rPr>
          <w:sz w:val="22"/>
          <w:szCs w:val="22"/>
        </w:rPr>
        <w:t xml:space="preserve"> the Best Available Control Technology</w:t>
      </w:r>
      <w:r w:rsidR="00CF2B15">
        <w:rPr>
          <w:sz w:val="22"/>
          <w:szCs w:val="22"/>
        </w:rPr>
        <w:t xml:space="preserve"> and accepts the </w:t>
      </w:r>
      <w:r w:rsidR="003C6F2D">
        <w:rPr>
          <w:sz w:val="22"/>
          <w:szCs w:val="22"/>
        </w:rPr>
        <w:t>applicant’s</w:t>
      </w:r>
      <w:r w:rsidR="00CF2B15">
        <w:rPr>
          <w:sz w:val="22"/>
          <w:szCs w:val="22"/>
        </w:rPr>
        <w:t xml:space="preserve"> proposal to maintain consistency with other </w:t>
      </w:r>
      <w:r w:rsidR="003C6F2D">
        <w:rPr>
          <w:sz w:val="22"/>
          <w:szCs w:val="22"/>
        </w:rPr>
        <w:t xml:space="preserve">recently permitted </w:t>
      </w:r>
      <w:r w:rsidR="00CF2B15">
        <w:rPr>
          <w:sz w:val="22"/>
          <w:szCs w:val="22"/>
        </w:rPr>
        <w:t>combined cycle units in Florida</w:t>
      </w:r>
      <w:r w:rsidR="003C6F2D">
        <w:rPr>
          <w:sz w:val="22"/>
          <w:szCs w:val="22"/>
        </w:rPr>
        <w:t>.</w:t>
      </w:r>
    </w:p>
    <w:p w:rsidR="00584D97" w:rsidRPr="002E77C6" w:rsidRDefault="00190915" w:rsidP="002E77C6">
      <w:pPr>
        <w:pStyle w:val="ListParagraph"/>
        <w:widowControl w:val="0"/>
        <w:numPr>
          <w:ilvl w:val="3"/>
          <w:numId w:val="3"/>
        </w:numPr>
        <w:spacing w:after="120"/>
        <w:ind w:left="720" w:hanging="720"/>
        <w:contextualSpacing w:val="0"/>
        <w:rPr>
          <w:i/>
          <w:caps/>
          <w:sz w:val="22"/>
          <w:szCs w:val="22"/>
          <w:u w:val="single"/>
        </w:rPr>
      </w:pPr>
      <w:r w:rsidRPr="002E77C6">
        <w:rPr>
          <w:i/>
          <w:sz w:val="22"/>
          <w:szCs w:val="22"/>
        </w:rPr>
        <w:t>PM/PM</w:t>
      </w:r>
      <w:r w:rsidRPr="002E77C6">
        <w:rPr>
          <w:i/>
          <w:sz w:val="22"/>
          <w:szCs w:val="22"/>
          <w:vertAlign w:val="subscript"/>
        </w:rPr>
        <w:t>10</w:t>
      </w:r>
      <w:r w:rsidRPr="002E77C6">
        <w:rPr>
          <w:i/>
          <w:sz w:val="22"/>
          <w:szCs w:val="22"/>
        </w:rPr>
        <w:t>/PM</w:t>
      </w:r>
      <w:r w:rsidRPr="002E77C6">
        <w:rPr>
          <w:i/>
          <w:sz w:val="22"/>
          <w:szCs w:val="22"/>
          <w:vertAlign w:val="subscript"/>
        </w:rPr>
        <w:t>2.5</w:t>
      </w:r>
      <w:r w:rsidR="00190881" w:rsidRPr="002E77C6">
        <w:rPr>
          <w:i/>
          <w:sz w:val="22"/>
          <w:szCs w:val="22"/>
        </w:rPr>
        <w:t xml:space="preserve"> Emissions</w:t>
      </w:r>
    </w:p>
    <w:p w:rsidR="00CD6E1B" w:rsidRDefault="00682A17" w:rsidP="002937DA">
      <w:pPr>
        <w:widowControl w:val="0"/>
        <w:spacing w:after="120"/>
        <w:rPr>
          <w:sz w:val="22"/>
          <w:szCs w:val="22"/>
          <w:u w:val="single"/>
        </w:rPr>
      </w:pPr>
      <w:r w:rsidRPr="00682A17">
        <w:rPr>
          <w:sz w:val="22"/>
          <w:szCs w:val="22"/>
        </w:rPr>
        <w:t>PM emissions are defined as a complex mixture of fine solid particles and liquid droplets that are carried into the air and can be classified as either filterable or condensable.  PM emissions increase with incomplete fuel combustion along with higher concentrations of ash, sulfur, and trace elements in certain fuels.  Filterable PM is the portion of the total PM that exists in the stack in either the solid or liquid state and can be measured on a EPA Method 5 filter.  Condensable PM is composed of organic and inorganic compounds and is generally considered to be all less than 1.0 micrometers in aerodynamic diameter.  Condensable PM is that portion of the total PM that exists as a gas in the stack but condenses in the cooler ambient air to form particulate matter.  Condensable PM exists as a gas in the stack, so it passes through the Method 5 filter and is typically measured by analyzing the impingers, or "back half" of the sampling train.  The collection, recovery, and analysis of the impingers is described in EPA Method 202 of Appendix M, Part 51 of the Code of Federal Regulations</w:t>
      </w:r>
      <w:bookmarkStart w:id="35" w:name="_Hlk491334261"/>
      <w:r w:rsidRPr="00682A17">
        <w:rPr>
          <w:sz w:val="22"/>
          <w:szCs w:val="22"/>
          <w:vertAlign w:val="superscript"/>
        </w:rPr>
        <w:footnoteReference w:id="4"/>
      </w:r>
      <w:bookmarkEnd w:id="35"/>
      <w:r w:rsidRPr="00682A17">
        <w:rPr>
          <w:sz w:val="22"/>
          <w:szCs w:val="22"/>
        </w:rPr>
        <w:t>.</w:t>
      </w:r>
    </w:p>
    <w:p w:rsidR="002937DA" w:rsidRPr="006C19BE" w:rsidRDefault="002937DA" w:rsidP="002937DA">
      <w:pPr>
        <w:widowControl w:val="0"/>
        <w:spacing w:after="120"/>
        <w:rPr>
          <w:sz w:val="22"/>
          <w:szCs w:val="22"/>
          <w:u w:val="single"/>
        </w:rPr>
      </w:pPr>
      <w:r w:rsidRPr="006C19BE">
        <w:rPr>
          <w:sz w:val="22"/>
          <w:szCs w:val="22"/>
          <w:u w:val="single"/>
        </w:rPr>
        <w:t>Identification of Control Technologies</w:t>
      </w:r>
    </w:p>
    <w:p w:rsidR="008808D8" w:rsidRPr="008808D8" w:rsidRDefault="008808D8" w:rsidP="008808D8">
      <w:pPr>
        <w:widowControl w:val="0"/>
        <w:tabs>
          <w:tab w:val="left" w:pos="2325"/>
        </w:tabs>
        <w:spacing w:before="120" w:after="120"/>
        <w:rPr>
          <w:sz w:val="22"/>
          <w:szCs w:val="22"/>
        </w:rPr>
      </w:pPr>
      <w:r w:rsidRPr="008808D8">
        <w:rPr>
          <w:i/>
          <w:sz w:val="22"/>
          <w:szCs w:val="22"/>
        </w:rPr>
        <w:t>Clean Fuels</w:t>
      </w:r>
      <w:r w:rsidR="005B312A">
        <w:rPr>
          <w:i/>
          <w:sz w:val="22"/>
          <w:szCs w:val="22"/>
        </w:rPr>
        <w:t>:</w:t>
      </w:r>
      <w:r w:rsidRPr="008808D8">
        <w:rPr>
          <w:sz w:val="22"/>
          <w:szCs w:val="22"/>
        </w:rPr>
        <w:t xml:space="preserve">  PM emissions are negligible with natural gas firing and marginally significant with distillate oil firing because of the low ash content</w:t>
      </w:r>
      <w:r w:rsidRPr="008808D8">
        <w:rPr>
          <w:i/>
          <w:sz w:val="22"/>
          <w:szCs w:val="22"/>
        </w:rPr>
        <w:t xml:space="preserve">.  </w:t>
      </w:r>
      <w:r w:rsidRPr="008808D8">
        <w:rPr>
          <w:sz w:val="22"/>
          <w:szCs w:val="22"/>
        </w:rPr>
        <w:t xml:space="preserve">Natural gas is identified as the cleanest of the fossil fuels as seen in </w:t>
      </w:r>
      <w:hyperlink w:anchor="Tab8" w:tooltip=" " w:history="1">
        <w:r w:rsidR="007C3440" w:rsidRPr="007C3440">
          <w:rPr>
            <w:rFonts w:ascii="Times New Roman Bold" w:hAnsi="Times New Roman Bold"/>
            <w:b/>
            <w:sz w:val="22"/>
          </w:rPr>
          <w:fldChar w:fldCharType="begin"/>
        </w:r>
        <w:r w:rsidR="007C3440" w:rsidRPr="007C3440">
          <w:rPr>
            <w:rFonts w:ascii="Times New Roman Bold" w:hAnsi="Times New Roman Bold"/>
            <w:b/>
            <w:sz w:val="22"/>
          </w:rPr>
          <w:instrText xml:space="preserve"> REF _Ref513618128 \h </w:instrText>
        </w:r>
        <w:r w:rsidR="007C3440">
          <w:rPr>
            <w:rFonts w:ascii="Times New Roman Bold" w:hAnsi="Times New Roman Bold"/>
            <w:b/>
            <w:sz w:val="22"/>
          </w:rPr>
          <w:instrText xml:space="preserve"> \* MERGEFORMAT </w:instrText>
        </w:r>
        <w:r w:rsidR="007C3440" w:rsidRPr="007C3440">
          <w:rPr>
            <w:rFonts w:ascii="Times New Roman Bold" w:hAnsi="Times New Roman Bold"/>
            <w:b/>
            <w:sz w:val="22"/>
          </w:rPr>
        </w:r>
        <w:r w:rsidR="007C3440" w:rsidRPr="007C3440">
          <w:rPr>
            <w:rFonts w:ascii="Times New Roman Bold" w:hAnsi="Times New Roman Bold"/>
            <w:b/>
            <w:sz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8</w:t>
        </w:r>
        <w:r w:rsidR="007C3440" w:rsidRPr="007C3440">
          <w:rPr>
            <w:rFonts w:ascii="Times New Roman Bold" w:hAnsi="Times New Roman Bold"/>
            <w:b/>
            <w:sz w:val="22"/>
          </w:rPr>
          <w:fldChar w:fldCharType="end"/>
        </w:r>
        <w:r w:rsidRPr="008808D8">
          <w:rPr>
            <w:color w:val="0000FF"/>
            <w:sz w:val="22"/>
            <w:szCs w:val="22"/>
          </w:rPr>
          <w:t>.</w:t>
        </w:r>
      </w:hyperlink>
    </w:p>
    <w:p w:rsidR="008808D8" w:rsidRPr="007C3440" w:rsidRDefault="007C3440" w:rsidP="007C3440">
      <w:pPr>
        <w:pStyle w:val="Caption"/>
        <w:spacing w:before="0"/>
        <w:jc w:val="center"/>
        <w:rPr>
          <w:rFonts w:ascii="Times New Roman Bold" w:hAnsi="Times New Roman Bold"/>
        </w:rPr>
      </w:pPr>
      <w:bookmarkStart w:id="36" w:name="Tab8"/>
      <w:bookmarkStart w:id="37" w:name="_Ref513618128"/>
      <w:bookmarkEnd w:id="36"/>
      <w:r w:rsidRPr="007C3440">
        <w:rPr>
          <w:rFonts w:ascii="Times New Roman Bold" w:hAnsi="Times New Roman Bold"/>
        </w:rPr>
        <w:t xml:space="preserve">Table </w:t>
      </w:r>
      <w:r w:rsidRPr="007C3440">
        <w:rPr>
          <w:rFonts w:ascii="Times New Roman Bold" w:hAnsi="Times New Roman Bold"/>
        </w:rPr>
        <w:fldChar w:fldCharType="begin"/>
      </w:r>
      <w:r w:rsidRPr="007C3440">
        <w:rPr>
          <w:rFonts w:ascii="Times New Roman Bold" w:hAnsi="Times New Roman Bold"/>
        </w:rPr>
        <w:instrText xml:space="preserve"> SEQ Table \* ARABIC </w:instrText>
      </w:r>
      <w:r w:rsidRPr="007C3440">
        <w:rPr>
          <w:rFonts w:ascii="Times New Roman Bold" w:hAnsi="Times New Roman Bold"/>
        </w:rPr>
        <w:fldChar w:fldCharType="separate"/>
      </w:r>
      <w:r w:rsidR="007204D0">
        <w:rPr>
          <w:rFonts w:ascii="Times New Roman Bold" w:hAnsi="Times New Roman Bold"/>
          <w:noProof/>
        </w:rPr>
        <w:t>8</w:t>
      </w:r>
      <w:r w:rsidRPr="007C3440">
        <w:rPr>
          <w:rFonts w:ascii="Times New Roman Bold" w:hAnsi="Times New Roman Bold"/>
        </w:rPr>
        <w:fldChar w:fldCharType="end"/>
      </w:r>
      <w:bookmarkEnd w:id="37"/>
      <w:r w:rsidRPr="007C3440">
        <w:rPr>
          <w:rFonts w:ascii="Times New Roman Bold" w:hAnsi="Times New Roman Bold"/>
        </w:rPr>
        <w:t xml:space="preserve"> - </w:t>
      </w:r>
      <w:r w:rsidR="008808D8" w:rsidRPr="007C3440">
        <w:rPr>
          <w:rFonts w:ascii="Times New Roman Bold" w:hAnsi="Times New Roman Bold"/>
        </w:rPr>
        <w:t>Fossil Fuel Emission Levels (Pounds/Billion Btu of Energy Input)</w:t>
      </w:r>
      <w:r w:rsidR="008808D8" w:rsidRPr="007C3440">
        <w:rPr>
          <w:rFonts w:ascii="Times New Roman Bold" w:hAnsi="Times New Roman Bold"/>
          <w:vertAlign w:val="superscript"/>
        </w:rPr>
        <w:t xml:space="preserve"> </w:t>
      </w:r>
      <w:r w:rsidR="00585B1F" w:rsidRPr="007C3440">
        <w:rPr>
          <w:rFonts w:ascii="Times New Roman Bold" w:hAnsi="Times New Roman Bold"/>
          <w:vertAlign w:val="superscript"/>
        </w:rPr>
        <w:fldChar w:fldCharType="begin"/>
      </w:r>
      <w:r w:rsidR="00585B1F" w:rsidRPr="007C3440">
        <w:rPr>
          <w:rFonts w:ascii="Times New Roman Bold" w:hAnsi="Times New Roman Bold"/>
          <w:vertAlign w:val="superscript"/>
        </w:rPr>
        <w:instrText xml:space="preserve"> REF _Ref511304404 \r \h  \* MERGEFORMAT </w:instrText>
      </w:r>
      <w:r w:rsidR="00585B1F" w:rsidRPr="007C3440">
        <w:rPr>
          <w:rFonts w:ascii="Times New Roman Bold" w:hAnsi="Times New Roman Bold"/>
          <w:vertAlign w:val="superscript"/>
        </w:rPr>
      </w:r>
      <w:r w:rsidR="00585B1F" w:rsidRPr="007C3440">
        <w:rPr>
          <w:rFonts w:ascii="Times New Roman Bold" w:hAnsi="Times New Roman Bold"/>
          <w:vertAlign w:val="superscript"/>
        </w:rPr>
        <w:fldChar w:fldCharType="separate"/>
      </w:r>
      <w:r w:rsidR="003E3FA4">
        <w:rPr>
          <w:rFonts w:ascii="Times New Roman Bold" w:hAnsi="Times New Roman Bold"/>
          <w:vertAlign w:val="superscript"/>
        </w:rPr>
        <w:t>a</w:t>
      </w:r>
      <w:r w:rsidR="00585B1F" w:rsidRPr="007C3440">
        <w:rPr>
          <w:rFonts w:ascii="Times New Roman Bold" w:hAnsi="Times New Roman Bold"/>
          <w:vertAlign w:val="superscript"/>
        </w:rPr>
        <w:fldChar w:fldCharType="end"/>
      </w:r>
      <w:r>
        <w:rPr>
          <w:rFonts w:ascii="Times New Roman Bold" w:hAnsi="Times New Roman Bold"/>
        </w:rPr>
        <w:t>.</w:t>
      </w:r>
    </w:p>
    <w:tbl>
      <w:tblPr>
        <w:tblW w:w="0" w:type="auto"/>
        <w:jc w:val="center"/>
        <w:tblCellMar>
          <w:left w:w="115" w:type="dxa"/>
          <w:right w:w="115" w:type="dxa"/>
        </w:tblCellMar>
        <w:tblLook w:val="04A0" w:firstRow="1" w:lastRow="0" w:firstColumn="1" w:lastColumn="0" w:noHBand="0" w:noVBand="1"/>
      </w:tblPr>
      <w:tblGrid>
        <w:gridCol w:w="1096"/>
        <w:gridCol w:w="2187"/>
        <w:gridCol w:w="880"/>
        <w:gridCol w:w="1947"/>
      </w:tblGrid>
      <w:tr w:rsidR="008808D8" w:rsidRPr="008808D8" w:rsidTr="00553525">
        <w:trPr>
          <w:trHeight w:val="402"/>
          <w:jc w:val="center"/>
        </w:trPr>
        <w:tc>
          <w:tcPr>
            <w:tcW w:w="1096" w:type="dxa"/>
            <w:tcBorders>
              <w:top w:val="single" w:sz="12" w:space="0" w:color="auto"/>
              <w:left w:val="single" w:sz="12" w:space="0" w:color="auto"/>
              <w:bottom w:val="single" w:sz="12" w:space="0" w:color="auto"/>
            </w:tcBorders>
            <w:shd w:val="clear" w:color="auto" w:fill="B8CCE4"/>
            <w:vAlign w:val="center"/>
          </w:tcPr>
          <w:p w:rsidR="008808D8" w:rsidRPr="008808D8" w:rsidRDefault="008808D8" w:rsidP="007C3440">
            <w:pPr>
              <w:spacing w:before="20" w:after="20"/>
              <w:jc w:val="center"/>
              <w:rPr>
                <w:b/>
              </w:rPr>
            </w:pPr>
            <w:r w:rsidRPr="008808D8">
              <w:rPr>
                <w:b/>
              </w:rPr>
              <w:t>Pollutant</w:t>
            </w:r>
          </w:p>
        </w:tc>
        <w:tc>
          <w:tcPr>
            <w:tcW w:w="2187" w:type="dxa"/>
            <w:tcBorders>
              <w:top w:val="single" w:sz="12" w:space="0" w:color="auto"/>
              <w:bottom w:val="single" w:sz="12" w:space="0" w:color="auto"/>
            </w:tcBorders>
            <w:shd w:val="clear" w:color="auto" w:fill="B8CCE4"/>
            <w:vAlign w:val="center"/>
          </w:tcPr>
          <w:p w:rsidR="008808D8" w:rsidRPr="008808D8" w:rsidRDefault="008808D8" w:rsidP="008808D8">
            <w:pPr>
              <w:keepNext/>
              <w:keepLines/>
              <w:spacing w:before="20" w:after="20"/>
              <w:jc w:val="center"/>
              <w:rPr>
                <w:b/>
              </w:rPr>
            </w:pPr>
            <w:r w:rsidRPr="008808D8">
              <w:rPr>
                <w:b/>
              </w:rPr>
              <w:t>Natural Gas</w:t>
            </w:r>
          </w:p>
        </w:tc>
        <w:tc>
          <w:tcPr>
            <w:tcW w:w="871" w:type="dxa"/>
            <w:tcBorders>
              <w:top w:val="single" w:sz="12" w:space="0" w:color="auto"/>
              <w:bottom w:val="single" w:sz="12" w:space="0" w:color="auto"/>
            </w:tcBorders>
            <w:shd w:val="clear" w:color="auto" w:fill="B8CCE4"/>
            <w:vAlign w:val="center"/>
          </w:tcPr>
          <w:p w:rsidR="008808D8" w:rsidRPr="008808D8" w:rsidRDefault="008808D8" w:rsidP="008808D8">
            <w:pPr>
              <w:keepNext/>
              <w:keepLines/>
              <w:spacing w:before="20" w:after="20"/>
              <w:jc w:val="center"/>
              <w:rPr>
                <w:b/>
              </w:rPr>
            </w:pPr>
            <w:r w:rsidRPr="008808D8">
              <w:rPr>
                <w:b/>
              </w:rPr>
              <w:t>Oil</w:t>
            </w:r>
          </w:p>
        </w:tc>
        <w:tc>
          <w:tcPr>
            <w:tcW w:w="1945" w:type="dxa"/>
            <w:tcBorders>
              <w:top w:val="single" w:sz="12" w:space="0" w:color="auto"/>
              <w:bottom w:val="single" w:sz="12" w:space="0" w:color="auto"/>
              <w:right w:val="single" w:sz="12" w:space="0" w:color="auto"/>
            </w:tcBorders>
            <w:shd w:val="clear" w:color="auto" w:fill="B8CCE4"/>
            <w:vAlign w:val="center"/>
          </w:tcPr>
          <w:p w:rsidR="008808D8" w:rsidRPr="008808D8" w:rsidRDefault="008808D8" w:rsidP="008808D8">
            <w:pPr>
              <w:keepNext/>
              <w:keepLines/>
              <w:spacing w:before="20" w:after="20"/>
              <w:jc w:val="center"/>
              <w:rPr>
                <w:b/>
              </w:rPr>
            </w:pPr>
            <w:r w:rsidRPr="008808D8">
              <w:rPr>
                <w:b/>
              </w:rPr>
              <w:t>Coal</w:t>
            </w:r>
          </w:p>
        </w:tc>
      </w:tr>
      <w:tr w:rsidR="008808D8" w:rsidRPr="008808D8" w:rsidTr="00553525">
        <w:trPr>
          <w:trHeight w:val="156"/>
          <w:jc w:val="center"/>
        </w:trPr>
        <w:tc>
          <w:tcPr>
            <w:tcW w:w="1096" w:type="dxa"/>
            <w:tcBorders>
              <w:top w:val="single" w:sz="12" w:space="0" w:color="auto"/>
              <w:lef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CO</w:t>
            </w:r>
            <w:r w:rsidRPr="008808D8">
              <w:rPr>
                <w:szCs w:val="22"/>
                <w:vertAlign w:val="subscript"/>
              </w:rPr>
              <w:t>2</w:t>
            </w:r>
          </w:p>
        </w:tc>
        <w:tc>
          <w:tcPr>
            <w:tcW w:w="2187" w:type="dxa"/>
            <w:tcBorders>
              <w:top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117,000</w:t>
            </w:r>
          </w:p>
        </w:tc>
        <w:tc>
          <w:tcPr>
            <w:tcW w:w="871" w:type="dxa"/>
            <w:tcBorders>
              <w:top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164,000</w:t>
            </w:r>
          </w:p>
        </w:tc>
        <w:tc>
          <w:tcPr>
            <w:tcW w:w="1945" w:type="dxa"/>
            <w:tcBorders>
              <w:top w:val="single" w:sz="12" w:space="0" w:color="auto"/>
              <w:righ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208,000</w:t>
            </w:r>
          </w:p>
        </w:tc>
      </w:tr>
      <w:tr w:rsidR="008808D8" w:rsidRPr="008808D8" w:rsidTr="00553525">
        <w:trPr>
          <w:trHeight w:val="202"/>
          <w:jc w:val="center"/>
        </w:trPr>
        <w:tc>
          <w:tcPr>
            <w:tcW w:w="1096" w:type="dxa"/>
            <w:tcBorders>
              <w:lef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CO</w:t>
            </w:r>
          </w:p>
        </w:tc>
        <w:tc>
          <w:tcPr>
            <w:tcW w:w="2187"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40</w:t>
            </w:r>
          </w:p>
        </w:tc>
        <w:tc>
          <w:tcPr>
            <w:tcW w:w="871"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33</w:t>
            </w:r>
          </w:p>
        </w:tc>
        <w:tc>
          <w:tcPr>
            <w:tcW w:w="1945" w:type="dxa"/>
            <w:tcBorders>
              <w:righ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208</w:t>
            </w:r>
          </w:p>
        </w:tc>
      </w:tr>
      <w:tr w:rsidR="008808D8" w:rsidRPr="008808D8" w:rsidTr="00553525">
        <w:trPr>
          <w:trHeight w:val="192"/>
          <w:jc w:val="center"/>
        </w:trPr>
        <w:tc>
          <w:tcPr>
            <w:tcW w:w="1096" w:type="dxa"/>
            <w:tcBorders>
              <w:lef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NO</w:t>
            </w:r>
            <w:r w:rsidRPr="008808D8">
              <w:rPr>
                <w:szCs w:val="22"/>
                <w:vertAlign w:val="subscript"/>
              </w:rPr>
              <w:t>X</w:t>
            </w:r>
          </w:p>
        </w:tc>
        <w:tc>
          <w:tcPr>
            <w:tcW w:w="2187"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92</w:t>
            </w:r>
          </w:p>
        </w:tc>
        <w:tc>
          <w:tcPr>
            <w:tcW w:w="871"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448</w:t>
            </w:r>
          </w:p>
        </w:tc>
        <w:tc>
          <w:tcPr>
            <w:tcW w:w="1945" w:type="dxa"/>
            <w:tcBorders>
              <w:righ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457</w:t>
            </w:r>
          </w:p>
        </w:tc>
      </w:tr>
      <w:tr w:rsidR="008808D8" w:rsidRPr="008808D8" w:rsidTr="00553525">
        <w:trPr>
          <w:trHeight w:val="192"/>
          <w:jc w:val="center"/>
        </w:trPr>
        <w:tc>
          <w:tcPr>
            <w:tcW w:w="1096" w:type="dxa"/>
            <w:tcBorders>
              <w:lef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SO</w:t>
            </w:r>
            <w:r w:rsidRPr="008808D8">
              <w:rPr>
                <w:szCs w:val="22"/>
                <w:vertAlign w:val="subscript"/>
              </w:rPr>
              <w:t>2</w:t>
            </w:r>
          </w:p>
        </w:tc>
        <w:tc>
          <w:tcPr>
            <w:tcW w:w="2187"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1</w:t>
            </w:r>
          </w:p>
        </w:tc>
        <w:tc>
          <w:tcPr>
            <w:tcW w:w="871" w:type="dxa"/>
            <w:vAlign w:val="center"/>
          </w:tcPr>
          <w:p w:rsidR="008808D8" w:rsidRPr="008808D8" w:rsidRDefault="008808D8" w:rsidP="008808D8">
            <w:pPr>
              <w:widowControl w:val="0"/>
              <w:tabs>
                <w:tab w:val="left" w:pos="2325"/>
              </w:tabs>
              <w:spacing w:before="20" w:after="20"/>
              <w:jc w:val="center"/>
              <w:rPr>
                <w:szCs w:val="22"/>
              </w:rPr>
            </w:pPr>
            <w:r w:rsidRPr="008808D8">
              <w:rPr>
                <w:szCs w:val="22"/>
              </w:rPr>
              <w:t>1,122</w:t>
            </w:r>
          </w:p>
        </w:tc>
        <w:tc>
          <w:tcPr>
            <w:tcW w:w="1945" w:type="dxa"/>
            <w:tcBorders>
              <w:right w:val="single" w:sz="12" w:space="0" w:color="auto"/>
            </w:tcBorders>
            <w:vAlign w:val="center"/>
          </w:tcPr>
          <w:p w:rsidR="008808D8" w:rsidRPr="008808D8" w:rsidRDefault="008808D8" w:rsidP="008808D8">
            <w:pPr>
              <w:widowControl w:val="0"/>
              <w:tabs>
                <w:tab w:val="left" w:pos="2325"/>
              </w:tabs>
              <w:spacing w:before="20" w:after="20"/>
              <w:jc w:val="center"/>
              <w:rPr>
                <w:szCs w:val="22"/>
              </w:rPr>
            </w:pPr>
            <w:r w:rsidRPr="008808D8">
              <w:rPr>
                <w:szCs w:val="22"/>
              </w:rPr>
              <w:t>2,591</w:t>
            </w:r>
          </w:p>
        </w:tc>
      </w:tr>
      <w:tr w:rsidR="008808D8" w:rsidRPr="008808D8" w:rsidTr="00553525">
        <w:trPr>
          <w:trHeight w:val="333"/>
          <w:jc w:val="center"/>
        </w:trPr>
        <w:tc>
          <w:tcPr>
            <w:tcW w:w="1096" w:type="dxa"/>
            <w:tcBorders>
              <w:left w:val="single" w:sz="12" w:space="0" w:color="auto"/>
              <w:bottom w:val="single" w:sz="12" w:space="0" w:color="auto"/>
            </w:tcBorders>
          </w:tcPr>
          <w:p w:rsidR="008808D8" w:rsidRPr="008808D8" w:rsidRDefault="008808D8" w:rsidP="008808D8">
            <w:pPr>
              <w:widowControl w:val="0"/>
              <w:tabs>
                <w:tab w:val="left" w:pos="2325"/>
              </w:tabs>
              <w:spacing w:before="20" w:after="20"/>
              <w:jc w:val="center"/>
              <w:rPr>
                <w:szCs w:val="22"/>
              </w:rPr>
            </w:pPr>
            <w:r w:rsidRPr="008808D8">
              <w:rPr>
                <w:szCs w:val="22"/>
              </w:rPr>
              <w:t>PM</w:t>
            </w:r>
          </w:p>
        </w:tc>
        <w:tc>
          <w:tcPr>
            <w:tcW w:w="2187" w:type="dxa"/>
            <w:tcBorders>
              <w:bottom w:val="single" w:sz="12" w:space="0" w:color="auto"/>
            </w:tcBorders>
          </w:tcPr>
          <w:p w:rsidR="008808D8" w:rsidRPr="008808D8" w:rsidRDefault="008808D8" w:rsidP="008808D8">
            <w:pPr>
              <w:widowControl w:val="0"/>
              <w:tabs>
                <w:tab w:val="left" w:pos="2325"/>
              </w:tabs>
              <w:spacing w:before="20" w:after="20"/>
              <w:jc w:val="center"/>
              <w:rPr>
                <w:szCs w:val="22"/>
              </w:rPr>
            </w:pPr>
            <w:r w:rsidRPr="008808D8">
              <w:rPr>
                <w:szCs w:val="22"/>
              </w:rPr>
              <w:t>7</w:t>
            </w:r>
          </w:p>
        </w:tc>
        <w:tc>
          <w:tcPr>
            <w:tcW w:w="871" w:type="dxa"/>
            <w:tcBorders>
              <w:bottom w:val="single" w:sz="12" w:space="0" w:color="auto"/>
            </w:tcBorders>
          </w:tcPr>
          <w:p w:rsidR="008808D8" w:rsidRPr="008808D8" w:rsidRDefault="008808D8" w:rsidP="008808D8">
            <w:pPr>
              <w:widowControl w:val="0"/>
              <w:tabs>
                <w:tab w:val="left" w:pos="2325"/>
              </w:tabs>
              <w:spacing w:before="20" w:after="20"/>
              <w:jc w:val="center"/>
              <w:rPr>
                <w:szCs w:val="22"/>
              </w:rPr>
            </w:pPr>
            <w:r w:rsidRPr="008808D8">
              <w:rPr>
                <w:szCs w:val="22"/>
              </w:rPr>
              <w:t>84</w:t>
            </w:r>
          </w:p>
        </w:tc>
        <w:tc>
          <w:tcPr>
            <w:tcW w:w="1945" w:type="dxa"/>
            <w:tcBorders>
              <w:bottom w:val="single" w:sz="12" w:space="0" w:color="auto"/>
              <w:right w:val="single" w:sz="12" w:space="0" w:color="auto"/>
            </w:tcBorders>
          </w:tcPr>
          <w:p w:rsidR="008808D8" w:rsidRPr="008808D8" w:rsidRDefault="008808D8" w:rsidP="008808D8">
            <w:pPr>
              <w:widowControl w:val="0"/>
              <w:tabs>
                <w:tab w:val="left" w:pos="2325"/>
              </w:tabs>
              <w:spacing w:before="20" w:after="20"/>
              <w:jc w:val="center"/>
              <w:rPr>
                <w:szCs w:val="22"/>
              </w:rPr>
            </w:pPr>
            <w:r w:rsidRPr="008808D8">
              <w:rPr>
                <w:szCs w:val="22"/>
              </w:rPr>
              <w:t>2,744</w:t>
            </w:r>
          </w:p>
        </w:tc>
      </w:tr>
      <w:tr w:rsidR="008808D8" w:rsidRPr="008808D8" w:rsidTr="00553525">
        <w:trPr>
          <w:trHeight w:val="511"/>
          <w:jc w:val="center"/>
        </w:trPr>
        <w:tc>
          <w:tcPr>
            <w:tcW w:w="6101" w:type="dxa"/>
            <w:gridSpan w:val="4"/>
            <w:tcBorders>
              <w:top w:val="single" w:sz="12" w:space="0" w:color="auto"/>
              <w:left w:val="single" w:sz="12" w:space="0" w:color="auto"/>
              <w:bottom w:val="single" w:sz="12" w:space="0" w:color="auto"/>
              <w:right w:val="single" w:sz="12" w:space="0" w:color="auto"/>
            </w:tcBorders>
            <w:vAlign w:val="center"/>
          </w:tcPr>
          <w:p w:rsidR="008808D8" w:rsidRPr="00C61F26" w:rsidRDefault="008808D8" w:rsidP="000E68D7">
            <w:pPr>
              <w:numPr>
                <w:ilvl w:val="0"/>
                <w:numId w:val="21"/>
              </w:numPr>
              <w:autoSpaceDE w:val="0"/>
              <w:autoSpaceDN w:val="0"/>
              <w:adjustRightInd w:val="0"/>
              <w:rPr>
                <w:szCs w:val="22"/>
              </w:rPr>
            </w:pPr>
            <w:bookmarkStart w:id="38" w:name="_Ref511304404"/>
            <w:r w:rsidRPr="00C61F26">
              <w:rPr>
                <w:sz w:val="18"/>
                <w:szCs w:val="22"/>
              </w:rPr>
              <w:t>Source: EIA- Natural Gas Issues and Trends 1998</w:t>
            </w:r>
            <w:bookmarkEnd w:id="38"/>
          </w:p>
        </w:tc>
      </w:tr>
    </w:tbl>
    <w:p w:rsidR="008808D8" w:rsidRPr="008808D8" w:rsidRDefault="008808D8" w:rsidP="008808D8">
      <w:pPr>
        <w:widowControl w:val="0"/>
        <w:spacing w:before="120" w:after="120"/>
        <w:rPr>
          <w:sz w:val="22"/>
          <w:szCs w:val="22"/>
        </w:rPr>
      </w:pPr>
      <w:r w:rsidRPr="008808D8">
        <w:rPr>
          <w:i/>
          <w:sz w:val="22"/>
          <w:szCs w:val="22"/>
        </w:rPr>
        <w:t>GCP</w:t>
      </w:r>
      <w:r w:rsidR="005B312A">
        <w:rPr>
          <w:i/>
          <w:sz w:val="22"/>
          <w:szCs w:val="22"/>
        </w:rPr>
        <w:t>:</w:t>
      </w:r>
      <w:r w:rsidRPr="008808D8">
        <w:rPr>
          <w:i/>
          <w:sz w:val="22"/>
          <w:szCs w:val="22"/>
        </w:rPr>
        <w:t xml:space="preserve">  </w:t>
      </w:r>
      <w:r w:rsidRPr="008808D8">
        <w:rPr>
          <w:sz w:val="22"/>
          <w:szCs w:val="22"/>
        </w:rPr>
        <w:t>GCP can be utilized to ensure complete combustion to minimize PM emissions.  Combustion chamber designs can be optimized and to further improve the oxidation process to promote complete combustion.  Modern CTs have been improved to implement effective chamber designs.</w:t>
      </w:r>
    </w:p>
    <w:p w:rsidR="008808D8" w:rsidRPr="008808D8" w:rsidRDefault="008808D8" w:rsidP="008808D8">
      <w:pPr>
        <w:widowControl w:val="0"/>
        <w:spacing w:before="120" w:after="120"/>
        <w:rPr>
          <w:sz w:val="22"/>
          <w:szCs w:val="22"/>
        </w:rPr>
      </w:pPr>
      <w:r w:rsidRPr="008808D8">
        <w:rPr>
          <w:i/>
          <w:sz w:val="22"/>
          <w:szCs w:val="22"/>
        </w:rPr>
        <w:t>Electrostatic Precipitator (ESP)</w:t>
      </w:r>
      <w:r w:rsidR="005B312A">
        <w:rPr>
          <w:i/>
          <w:sz w:val="22"/>
          <w:szCs w:val="22"/>
        </w:rPr>
        <w:t>:</w:t>
      </w:r>
      <w:r w:rsidRPr="008808D8">
        <w:rPr>
          <w:i/>
          <w:sz w:val="22"/>
          <w:szCs w:val="22"/>
        </w:rPr>
        <w:t xml:space="preserve"> </w:t>
      </w:r>
      <w:r w:rsidRPr="008808D8">
        <w:rPr>
          <w:sz w:val="22"/>
          <w:szCs w:val="22"/>
        </w:rPr>
        <w:t xml:space="preserve"> An ESP is an add-on control device that can be placed to lower PM concentrations by creating a direct-current voltage across a pair of electrodes.  PM is separated from the gas stream by high voltage electrodes that generate an electrical field to attract PM to collector walls.  Dry ESP walls are knocked or “rapped” to dislodge PM into a collection hopper.  Whereas a wet ESP removes particles from the collecting electrodes by washing the collection surface using liquid rather than mechanically rapping the collector plates.  A wet ESP is commonly used for gas streams which retain a high moisture content.</w:t>
      </w:r>
      <w:r w:rsidRPr="008808D8">
        <w:t xml:space="preserve">  </w:t>
      </w:r>
      <w:r w:rsidRPr="008808D8">
        <w:rPr>
          <w:sz w:val="22"/>
        </w:rPr>
        <w:t>The e</w:t>
      </w:r>
      <w:r w:rsidRPr="008808D8">
        <w:rPr>
          <w:sz w:val="22"/>
          <w:szCs w:val="22"/>
        </w:rPr>
        <w:t>fficiency of a wet or dry ESP depends on dust resistivity, gas composition, gas temperature, and particle size distribution.</w:t>
      </w:r>
    </w:p>
    <w:p w:rsidR="008808D8" w:rsidRPr="008808D8" w:rsidRDefault="008808D8" w:rsidP="008808D8">
      <w:pPr>
        <w:widowControl w:val="0"/>
        <w:spacing w:before="120" w:after="120"/>
        <w:rPr>
          <w:sz w:val="22"/>
          <w:szCs w:val="22"/>
        </w:rPr>
      </w:pPr>
      <w:r w:rsidRPr="008808D8">
        <w:rPr>
          <w:i/>
          <w:sz w:val="22"/>
          <w:szCs w:val="22"/>
        </w:rPr>
        <w:t>Baghouses</w:t>
      </w:r>
      <w:r w:rsidR="005B312A">
        <w:rPr>
          <w:i/>
          <w:sz w:val="22"/>
          <w:szCs w:val="22"/>
        </w:rPr>
        <w:t>:</w:t>
      </w:r>
      <w:r w:rsidRPr="008808D8">
        <w:rPr>
          <w:sz w:val="22"/>
          <w:szCs w:val="22"/>
        </w:rPr>
        <w:t xml:space="preserve">  Baghouses are used to primarily remove PM/PM</w:t>
      </w:r>
      <w:r w:rsidRPr="008808D8">
        <w:rPr>
          <w:sz w:val="22"/>
          <w:szCs w:val="22"/>
          <w:vertAlign w:val="subscript"/>
        </w:rPr>
        <w:t>10</w:t>
      </w:r>
      <w:r w:rsidRPr="008808D8">
        <w:rPr>
          <w:sz w:val="22"/>
          <w:szCs w:val="22"/>
        </w:rPr>
        <w:t>/PM</w:t>
      </w:r>
      <w:r w:rsidRPr="008808D8">
        <w:rPr>
          <w:sz w:val="22"/>
          <w:szCs w:val="22"/>
          <w:vertAlign w:val="subscript"/>
        </w:rPr>
        <w:t>2.5</w:t>
      </w:r>
      <w:r w:rsidRPr="008808D8">
        <w:rPr>
          <w:sz w:val="22"/>
          <w:szCs w:val="22"/>
        </w:rPr>
        <w:t>, and PM</w:t>
      </w:r>
      <w:r w:rsidRPr="008808D8">
        <w:rPr>
          <w:sz w:val="22"/>
          <w:szCs w:val="22"/>
          <w:vertAlign w:val="subscript"/>
        </w:rPr>
        <w:t>HAP</w:t>
      </w:r>
      <w:r w:rsidRPr="008808D8">
        <w:rPr>
          <w:sz w:val="22"/>
          <w:szCs w:val="22"/>
        </w:rPr>
        <w:t xml:space="preserve"> from processes with high PM loadings and/or flow rates.  A baghouse contains fabric filter bags to remove PM from the gas stream.  The gas passes through filter bags and deposits PM (filter cake) on the bags.  The PM is dislodged from the filter bags using mechanical shakers, pulse-jets, or reverse-air flow.  The PM collection efficiency of a baghouse has reached up to 99.9%.</w:t>
      </w:r>
    </w:p>
    <w:p w:rsidR="008808D8" w:rsidRPr="008808D8" w:rsidRDefault="008808D8" w:rsidP="008808D8">
      <w:pPr>
        <w:widowControl w:val="0"/>
        <w:spacing w:before="120" w:after="120"/>
        <w:rPr>
          <w:sz w:val="22"/>
          <w:szCs w:val="22"/>
        </w:rPr>
      </w:pPr>
      <w:r w:rsidRPr="008808D8">
        <w:rPr>
          <w:i/>
          <w:sz w:val="22"/>
          <w:szCs w:val="22"/>
        </w:rPr>
        <w:t>Wet Scrubber</w:t>
      </w:r>
      <w:r w:rsidR="005B312A">
        <w:rPr>
          <w:sz w:val="22"/>
          <w:szCs w:val="22"/>
        </w:rPr>
        <w:t>:</w:t>
      </w:r>
      <w:r w:rsidRPr="008808D8">
        <w:rPr>
          <w:sz w:val="22"/>
          <w:szCs w:val="22"/>
        </w:rPr>
        <w:t xml:space="preserve">  Wet scrubbers primarily treat PM/PM</w:t>
      </w:r>
      <w:r w:rsidRPr="008808D8">
        <w:rPr>
          <w:sz w:val="22"/>
          <w:szCs w:val="22"/>
          <w:vertAlign w:val="subscript"/>
        </w:rPr>
        <w:t>10</w:t>
      </w:r>
      <w:r w:rsidRPr="008808D8">
        <w:rPr>
          <w:sz w:val="22"/>
          <w:szCs w:val="22"/>
        </w:rPr>
        <w:t>/PM</w:t>
      </w:r>
      <w:r w:rsidRPr="008808D8">
        <w:rPr>
          <w:sz w:val="22"/>
          <w:szCs w:val="22"/>
          <w:vertAlign w:val="subscript"/>
        </w:rPr>
        <w:t>2.5</w:t>
      </w:r>
      <w:r w:rsidRPr="008808D8">
        <w:rPr>
          <w:sz w:val="22"/>
          <w:szCs w:val="22"/>
        </w:rPr>
        <w:t>, and high-solubility gases, but offer incidental treatment of VOC.  The pollutants are removed primarily through the impaction, diffusion, interception and/or absorption of the pollutant onto droplets of liquid.  Venturi scrubbers are the most efficient for PM collection with efficiencies ranging from 70% to over 99%.</w:t>
      </w:r>
    </w:p>
    <w:p w:rsidR="002937DA" w:rsidRPr="006C19BE" w:rsidRDefault="002937DA" w:rsidP="002937DA">
      <w:pPr>
        <w:widowControl w:val="0"/>
        <w:spacing w:after="120"/>
        <w:rPr>
          <w:sz w:val="22"/>
          <w:szCs w:val="22"/>
          <w:u w:val="single"/>
        </w:rPr>
      </w:pPr>
      <w:r w:rsidRPr="006C19BE">
        <w:rPr>
          <w:sz w:val="22"/>
          <w:szCs w:val="22"/>
          <w:u w:val="single"/>
        </w:rPr>
        <w:t>Discussion of Technically Infeasible Control Options and Ranking of Remaining Options</w:t>
      </w:r>
    </w:p>
    <w:p w:rsidR="002937DA" w:rsidRPr="00D009A7" w:rsidRDefault="00ED046B" w:rsidP="00C70FB5">
      <w:pPr>
        <w:widowControl w:val="0"/>
        <w:spacing w:after="120"/>
        <w:rPr>
          <w:sz w:val="22"/>
          <w:szCs w:val="22"/>
        </w:rPr>
      </w:pPr>
      <w:r>
        <w:rPr>
          <w:sz w:val="22"/>
          <w:szCs w:val="22"/>
        </w:rPr>
        <w:t xml:space="preserve">GCP and clean fuels </w:t>
      </w:r>
      <w:r w:rsidR="00C70FB5">
        <w:rPr>
          <w:sz w:val="22"/>
          <w:szCs w:val="22"/>
        </w:rPr>
        <w:t>have been commonly employed on large CTGs and are deemed to be technically feasible for this Project.  However, as seen in</w:t>
      </w:r>
      <w:r w:rsidR="003E3FA4">
        <w:rPr>
          <w:sz w:val="22"/>
          <w:szCs w:val="22"/>
        </w:rPr>
        <w:t xml:space="preserve"> </w:t>
      </w:r>
      <w:r w:rsidR="003E3FA4" w:rsidRPr="003E3FA4">
        <w:rPr>
          <w:rFonts w:ascii="Times New Roman Bold" w:hAnsi="Times New Roman Bold"/>
          <w:b/>
          <w:sz w:val="22"/>
          <w:szCs w:val="22"/>
        </w:rPr>
        <w:fldChar w:fldCharType="begin"/>
      </w:r>
      <w:r w:rsidR="003E3FA4" w:rsidRPr="003E3FA4">
        <w:rPr>
          <w:rFonts w:ascii="Times New Roman Bold" w:hAnsi="Times New Roman Bold"/>
          <w:b/>
          <w:sz w:val="22"/>
          <w:szCs w:val="22"/>
        </w:rPr>
        <w:instrText xml:space="preserve"> REF _Ref513625058 \h </w:instrText>
      </w:r>
      <w:r w:rsidR="003E3FA4">
        <w:rPr>
          <w:rFonts w:ascii="Times New Roman Bold" w:hAnsi="Times New Roman Bold"/>
          <w:b/>
          <w:sz w:val="22"/>
          <w:szCs w:val="22"/>
        </w:rPr>
        <w:instrText xml:space="preserve"> \* MERGEFORMAT </w:instrText>
      </w:r>
      <w:r w:rsidR="003E3FA4" w:rsidRPr="003E3FA4">
        <w:rPr>
          <w:rFonts w:ascii="Times New Roman Bold" w:hAnsi="Times New Roman Bold"/>
          <w:b/>
          <w:sz w:val="22"/>
          <w:szCs w:val="22"/>
        </w:rPr>
      </w:r>
      <w:r w:rsidR="003E3FA4" w:rsidRPr="003E3FA4">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9</w:t>
      </w:r>
      <w:r w:rsidR="003E3FA4" w:rsidRPr="003E3FA4">
        <w:rPr>
          <w:rFonts w:ascii="Times New Roman Bold" w:hAnsi="Times New Roman Bold"/>
          <w:b/>
          <w:sz w:val="22"/>
          <w:szCs w:val="22"/>
        </w:rPr>
        <w:fldChar w:fldCharType="end"/>
      </w:r>
      <w:r w:rsidR="00C70FB5">
        <w:rPr>
          <w:sz w:val="22"/>
          <w:szCs w:val="22"/>
        </w:rPr>
        <w:t xml:space="preserve">, add-on control devices such as baghouses, </w:t>
      </w:r>
      <w:r w:rsidR="002443DD">
        <w:rPr>
          <w:sz w:val="22"/>
          <w:szCs w:val="22"/>
        </w:rPr>
        <w:t>ESPs</w:t>
      </w:r>
      <w:r w:rsidR="00C70FB5">
        <w:rPr>
          <w:sz w:val="22"/>
          <w:szCs w:val="22"/>
        </w:rPr>
        <w:t xml:space="preserve"> and wet scrubbers have </w:t>
      </w:r>
      <w:r w:rsidR="002443DD">
        <w:rPr>
          <w:sz w:val="22"/>
          <w:szCs w:val="22"/>
        </w:rPr>
        <w:t xml:space="preserve">not been utilized for </w:t>
      </w:r>
      <w:r w:rsidR="00C70FB5" w:rsidRPr="00C70FB5">
        <w:rPr>
          <w:sz w:val="22"/>
          <w:szCs w:val="22"/>
        </w:rPr>
        <w:t>combined cycle CTGs because of high volumes of airflow, fine particulate distribution, and</w:t>
      </w:r>
      <w:r w:rsidR="00C70FB5">
        <w:rPr>
          <w:sz w:val="22"/>
          <w:szCs w:val="22"/>
        </w:rPr>
        <w:t xml:space="preserve"> </w:t>
      </w:r>
      <w:r w:rsidR="00C70FB5" w:rsidRPr="00C70FB5">
        <w:rPr>
          <w:sz w:val="22"/>
          <w:szCs w:val="22"/>
        </w:rPr>
        <w:t>inherently low uncontrolled PM emission rates.</w:t>
      </w:r>
    </w:p>
    <w:p w:rsidR="00EB2698" w:rsidRPr="007C3440" w:rsidRDefault="007C3440" w:rsidP="007C3440">
      <w:pPr>
        <w:pStyle w:val="Caption"/>
        <w:spacing w:before="0"/>
        <w:jc w:val="center"/>
        <w:rPr>
          <w:rFonts w:ascii="Times New Roman Bold" w:hAnsi="Times New Roman Bold"/>
        </w:rPr>
      </w:pPr>
      <w:bookmarkStart w:id="39" w:name="_Ref513625058"/>
      <w:bookmarkStart w:id="40" w:name="_Hlk508806831"/>
      <w:r w:rsidRPr="007C3440">
        <w:rPr>
          <w:rFonts w:ascii="Times New Roman Bold" w:hAnsi="Times New Roman Bold"/>
        </w:rPr>
        <w:t xml:space="preserve">Table </w:t>
      </w:r>
      <w:r w:rsidRPr="007C3440">
        <w:rPr>
          <w:rFonts w:ascii="Times New Roman Bold" w:hAnsi="Times New Roman Bold"/>
        </w:rPr>
        <w:fldChar w:fldCharType="begin"/>
      </w:r>
      <w:r w:rsidRPr="007C3440">
        <w:rPr>
          <w:rFonts w:ascii="Times New Roman Bold" w:hAnsi="Times New Roman Bold"/>
        </w:rPr>
        <w:instrText xml:space="preserve"> SEQ Table \* ARABIC </w:instrText>
      </w:r>
      <w:r w:rsidRPr="007C3440">
        <w:rPr>
          <w:rFonts w:ascii="Times New Roman Bold" w:hAnsi="Times New Roman Bold"/>
        </w:rPr>
        <w:fldChar w:fldCharType="separate"/>
      </w:r>
      <w:r w:rsidR="007204D0">
        <w:rPr>
          <w:rFonts w:ascii="Times New Roman Bold" w:hAnsi="Times New Roman Bold"/>
          <w:noProof/>
        </w:rPr>
        <w:t>9</w:t>
      </w:r>
      <w:r w:rsidRPr="007C3440">
        <w:rPr>
          <w:rFonts w:ascii="Times New Roman Bold" w:hAnsi="Times New Roman Bold"/>
        </w:rPr>
        <w:fldChar w:fldCharType="end"/>
      </w:r>
      <w:bookmarkEnd w:id="39"/>
      <w:r w:rsidRPr="007C3440">
        <w:rPr>
          <w:rFonts w:ascii="Times New Roman Bold" w:hAnsi="Times New Roman Bold"/>
        </w:rPr>
        <w:t xml:space="preserve"> - </w:t>
      </w:r>
      <w:r w:rsidR="00EB2698" w:rsidRPr="007C3440">
        <w:rPr>
          <w:rFonts w:ascii="Times New Roman Bold" w:hAnsi="Times New Roman Bold"/>
          <w:szCs w:val="22"/>
        </w:rPr>
        <w:t>RBLC BACT Determinations for PM/PM</w:t>
      </w:r>
      <w:r w:rsidR="00EB2698" w:rsidRPr="007C3440">
        <w:rPr>
          <w:rFonts w:ascii="Times New Roman Bold" w:hAnsi="Times New Roman Bold"/>
          <w:szCs w:val="22"/>
          <w:vertAlign w:val="subscript"/>
        </w:rPr>
        <w:t>10</w:t>
      </w:r>
      <w:r w:rsidR="00EB2698" w:rsidRPr="007C3440">
        <w:rPr>
          <w:rFonts w:ascii="Times New Roman Bold" w:hAnsi="Times New Roman Bold"/>
          <w:szCs w:val="22"/>
        </w:rPr>
        <w:t>/PM</w:t>
      </w:r>
      <w:r w:rsidR="00EB2698" w:rsidRPr="007C3440">
        <w:rPr>
          <w:rFonts w:ascii="Times New Roman Bold" w:hAnsi="Times New Roman Bold"/>
          <w:szCs w:val="22"/>
          <w:vertAlign w:val="subscript"/>
        </w:rPr>
        <w:t>2.5</w:t>
      </w:r>
      <w:r w:rsidR="00EB2698" w:rsidRPr="007C3440">
        <w:rPr>
          <w:rFonts w:ascii="Times New Roman Bold" w:hAnsi="Times New Roman Bold"/>
          <w:szCs w:val="22"/>
        </w:rPr>
        <w:t xml:space="preserve"> for Natural Gas-Fired Combustion Turbines.</w:t>
      </w:r>
    </w:p>
    <w:tbl>
      <w:tblPr>
        <w:tblStyle w:val="TableGrid"/>
        <w:tblW w:w="0" w:type="auto"/>
        <w:tblInd w:w="108" w:type="dxa"/>
        <w:tblLook w:val="04A0" w:firstRow="1" w:lastRow="0" w:firstColumn="1" w:lastColumn="0" w:noHBand="0" w:noVBand="1"/>
      </w:tblPr>
      <w:tblGrid>
        <w:gridCol w:w="1151"/>
        <w:gridCol w:w="1205"/>
        <w:gridCol w:w="1463"/>
        <w:gridCol w:w="1419"/>
        <w:gridCol w:w="1564"/>
        <w:gridCol w:w="1238"/>
        <w:gridCol w:w="1728"/>
      </w:tblGrid>
      <w:tr w:rsidR="00EB2698" w:rsidRPr="00E8321C" w:rsidTr="00553525">
        <w:trPr>
          <w:trHeight w:val="594"/>
          <w:tblHeader/>
        </w:trPr>
        <w:tc>
          <w:tcPr>
            <w:tcW w:w="1151" w:type="dxa"/>
            <w:tcBorders>
              <w:top w:val="single" w:sz="12" w:space="0" w:color="auto"/>
              <w:left w:val="single" w:sz="12" w:space="0" w:color="auto"/>
              <w:bottom w:val="single" w:sz="12" w:space="0" w:color="auto"/>
            </w:tcBorders>
            <w:shd w:val="clear" w:color="auto" w:fill="B8CCE4" w:themeFill="accent1" w:themeFillTint="66"/>
            <w:vAlign w:val="center"/>
          </w:tcPr>
          <w:bookmarkEnd w:id="40"/>
          <w:p w:rsidR="00EB2698" w:rsidRPr="00E8321C" w:rsidRDefault="00EB2698" w:rsidP="001C1628">
            <w:pPr>
              <w:pStyle w:val="BodyText2"/>
              <w:widowControl w:val="0"/>
              <w:numPr>
                <w:ilvl w:val="0"/>
                <w:numId w:val="0"/>
              </w:numPr>
              <w:spacing w:after="0"/>
              <w:jc w:val="center"/>
              <w:rPr>
                <w:b/>
                <w:sz w:val="20"/>
              </w:rPr>
            </w:pPr>
            <w:r>
              <w:rPr>
                <w:b/>
                <w:sz w:val="20"/>
              </w:rPr>
              <w:t>RBLC ID</w:t>
            </w:r>
          </w:p>
        </w:tc>
        <w:tc>
          <w:tcPr>
            <w:tcW w:w="1205" w:type="dxa"/>
            <w:tcBorders>
              <w:top w:val="single" w:sz="12" w:space="0" w:color="auto"/>
              <w:bottom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Date</w:t>
            </w:r>
          </w:p>
        </w:tc>
        <w:tc>
          <w:tcPr>
            <w:tcW w:w="1463" w:type="dxa"/>
            <w:tcBorders>
              <w:top w:val="single" w:sz="12" w:space="0" w:color="auto"/>
              <w:bottom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Source Type</w:t>
            </w:r>
          </w:p>
        </w:tc>
        <w:tc>
          <w:tcPr>
            <w:tcW w:w="1419" w:type="dxa"/>
            <w:tcBorders>
              <w:top w:val="single" w:sz="12" w:space="0" w:color="auto"/>
              <w:bottom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Heat Input or MW Rating</w:t>
            </w:r>
          </w:p>
        </w:tc>
        <w:tc>
          <w:tcPr>
            <w:tcW w:w="1564" w:type="dxa"/>
            <w:tcBorders>
              <w:top w:val="single" w:sz="12" w:space="0" w:color="auto"/>
              <w:bottom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Pollutant Limit</w:t>
            </w:r>
          </w:p>
        </w:tc>
        <w:tc>
          <w:tcPr>
            <w:tcW w:w="1238" w:type="dxa"/>
            <w:tcBorders>
              <w:top w:val="single" w:sz="12" w:space="0" w:color="auto"/>
              <w:bottom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Averaging Period</w:t>
            </w:r>
          </w:p>
        </w:tc>
        <w:tc>
          <w:tcPr>
            <w:tcW w:w="1725" w:type="dxa"/>
            <w:tcBorders>
              <w:top w:val="single" w:sz="12" w:space="0" w:color="auto"/>
              <w:bottom w:val="single" w:sz="12" w:space="0" w:color="auto"/>
              <w:right w:val="single" w:sz="12" w:space="0" w:color="auto"/>
            </w:tcBorders>
            <w:shd w:val="clear" w:color="auto" w:fill="B8CCE4" w:themeFill="accent1" w:themeFillTint="66"/>
            <w:vAlign w:val="center"/>
          </w:tcPr>
          <w:p w:rsidR="00EB2698" w:rsidRPr="00E8321C" w:rsidRDefault="00EB2698" w:rsidP="001C1628">
            <w:pPr>
              <w:pStyle w:val="BodyText2"/>
              <w:widowControl w:val="0"/>
              <w:numPr>
                <w:ilvl w:val="0"/>
                <w:numId w:val="0"/>
              </w:numPr>
              <w:spacing w:after="0"/>
              <w:jc w:val="center"/>
              <w:rPr>
                <w:b/>
                <w:sz w:val="20"/>
              </w:rPr>
            </w:pPr>
            <w:r w:rsidRPr="00E8321C">
              <w:rPr>
                <w:b/>
                <w:sz w:val="20"/>
              </w:rPr>
              <w:t>Control Method</w:t>
            </w:r>
          </w:p>
        </w:tc>
      </w:tr>
      <w:tr w:rsidR="00EB2698" w:rsidRPr="00E8321C" w:rsidTr="00553525">
        <w:trPr>
          <w:trHeight w:val="575"/>
        </w:trPr>
        <w:tc>
          <w:tcPr>
            <w:tcW w:w="1151" w:type="dxa"/>
            <w:tcBorders>
              <w:lef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FL-0356</w:t>
            </w:r>
          </w:p>
        </w:tc>
        <w:tc>
          <w:tcPr>
            <w:tcW w:w="1205" w:type="dxa"/>
            <w:vAlign w:val="center"/>
          </w:tcPr>
          <w:p w:rsidR="00EB2698" w:rsidRPr="00E8321C" w:rsidRDefault="00EB2698" w:rsidP="001C1628">
            <w:pPr>
              <w:pStyle w:val="BodyText2"/>
              <w:widowControl w:val="0"/>
              <w:numPr>
                <w:ilvl w:val="0"/>
                <w:numId w:val="0"/>
              </w:numPr>
              <w:spacing w:after="0"/>
              <w:jc w:val="center"/>
              <w:rPr>
                <w:sz w:val="20"/>
              </w:rPr>
            </w:pPr>
            <w:r>
              <w:rPr>
                <w:sz w:val="20"/>
              </w:rPr>
              <w:t>03/09/2016</w:t>
            </w:r>
          </w:p>
        </w:tc>
        <w:tc>
          <w:tcPr>
            <w:tcW w:w="1463" w:type="dxa"/>
            <w:vAlign w:val="center"/>
          </w:tcPr>
          <w:p w:rsidR="00EB2698" w:rsidRPr="00E8321C" w:rsidRDefault="00EB2698" w:rsidP="001C1628">
            <w:pPr>
              <w:pStyle w:val="BodyText2"/>
              <w:widowControl w:val="0"/>
              <w:numPr>
                <w:ilvl w:val="0"/>
                <w:numId w:val="0"/>
              </w:numPr>
              <w:spacing w:after="0"/>
              <w:jc w:val="center"/>
              <w:rPr>
                <w:sz w:val="20"/>
              </w:rPr>
            </w:pPr>
            <w:r w:rsidRPr="00E8321C">
              <w:rPr>
                <w:sz w:val="20"/>
              </w:rPr>
              <w:t>3-on-1 CCCT with HRSG</w:t>
            </w:r>
          </w:p>
        </w:tc>
        <w:tc>
          <w:tcPr>
            <w:tcW w:w="1419" w:type="dxa"/>
            <w:vAlign w:val="center"/>
          </w:tcPr>
          <w:p w:rsidR="00EB2698" w:rsidRPr="00E8321C" w:rsidRDefault="00EB2698" w:rsidP="001C1628">
            <w:pPr>
              <w:pStyle w:val="BodyText2"/>
              <w:widowControl w:val="0"/>
              <w:numPr>
                <w:ilvl w:val="0"/>
                <w:numId w:val="0"/>
              </w:numPr>
              <w:spacing w:after="0"/>
              <w:jc w:val="center"/>
              <w:rPr>
                <w:sz w:val="20"/>
              </w:rPr>
            </w:pPr>
            <w:r w:rsidRPr="00E8321C">
              <w:rPr>
                <w:sz w:val="20"/>
              </w:rPr>
              <w:t>3,096 MMBtu/hour</w:t>
            </w:r>
          </w:p>
        </w:tc>
        <w:tc>
          <w:tcPr>
            <w:tcW w:w="1564" w:type="dxa"/>
            <w:vMerge w:val="restart"/>
            <w:vAlign w:val="center"/>
          </w:tcPr>
          <w:p w:rsidR="00EB2698" w:rsidRPr="00E8321C" w:rsidRDefault="00EB2698" w:rsidP="001C1628">
            <w:pPr>
              <w:pStyle w:val="BodyText2"/>
              <w:widowControl w:val="0"/>
              <w:numPr>
                <w:ilvl w:val="0"/>
                <w:numId w:val="0"/>
              </w:numPr>
              <w:spacing w:after="0"/>
              <w:jc w:val="center"/>
              <w:rPr>
                <w:sz w:val="20"/>
              </w:rPr>
            </w:pPr>
            <w:r>
              <w:rPr>
                <w:sz w:val="20"/>
              </w:rPr>
              <w:t>2</w:t>
            </w:r>
            <w:r w:rsidR="0064614E">
              <w:rPr>
                <w:sz w:val="20"/>
              </w:rPr>
              <w:t>.0</w:t>
            </w:r>
            <w:r>
              <w:rPr>
                <w:sz w:val="20"/>
              </w:rPr>
              <w:t xml:space="preserve"> gr S/100 scf</w:t>
            </w:r>
          </w:p>
        </w:tc>
        <w:tc>
          <w:tcPr>
            <w:tcW w:w="1238" w:type="dxa"/>
            <w:vMerge w:val="restart"/>
            <w:vAlign w:val="center"/>
          </w:tcPr>
          <w:p w:rsidR="00EB2698" w:rsidRPr="00E8321C" w:rsidRDefault="00EB2698" w:rsidP="001C1628">
            <w:pPr>
              <w:pStyle w:val="BodyText2"/>
              <w:widowControl w:val="0"/>
              <w:numPr>
                <w:ilvl w:val="0"/>
                <w:numId w:val="0"/>
              </w:numPr>
              <w:spacing w:after="0"/>
              <w:jc w:val="center"/>
              <w:rPr>
                <w:sz w:val="20"/>
              </w:rPr>
            </w:pPr>
            <w:r>
              <w:rPr>
                <w:sz w:val="20"/>
              </w:rPr>
              <w:t>--</w:t>
            </w:r>
          </w:p>
        </w:tc>
        <w:tc>
          <w:tcPr>
            <w:tcW w:w="1725" w:type="dxa"/>
            <w:vMerge w:val="restart"/>
            <w:tcBorders>
              <w:righ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sidRPr="001A6E1A">
              <w:rPr>
                <w:sz w:val="20"/>
              </w:rPr>
              <w:t>GCP, clean fuels</w:t>
            </w:r>
          </w:p>
        </w:tc>
      </w:tr>
      <w:tr w:rsidR="00EB2698" w:rsidRPr="00E8321C" w:rsidTr="00553525">
        <w:trPr>
          <w:trHeight w:val="594"/>
        </w:trPr>
        <w:tc>
          <w:tcPr>
            <w:tcW w:w="1151" w:type="dxa"/>
            <w:tcBorders>
              <w:lef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FL-0363</w:t>
            </w:r>
          </w:p>
        </w:tc>
        <w:tc>
          <w:tcPr>
            <w:tcW w:w="1205" w:type="dxa"/>
            <w:vAlign w:val="center"/>
          </w:tcPr>
          <w:p w:rsidR="00EB2698" w:rsidRPr="00E8321C" w:rsidRDefault="00EB2698" w:rsidP="001C1628">
            <w:pPr>
              <w:pStyle w:val="BodyText2"/>
              <w:widowControl w:val="0"/>
              <w:numPr>
                <w:ilvl w:val="0"/>
                <w:numId w:val="0"/>
              </w:numPr>
              <w:spacing w:after="0"/>
              <w:jc w:val="center"/>
              <w:rPr>
                <w:sz w:val="20"/>
              </w:rPr>
            </w:pPr>
            <w:r>
              <w:rPr>
                <w:sz w:val="20"/>
              </w:rPr>
              <w:t>12/04/2017</w:t>
            </w:r>
          </w:p>
        </w:tc>
        <w:tc>
          <w:tcPr>
            <w:tcW w:w="1463" w:type="dxa"/>
            <w:vAlign w:val="center"/>
          </w:tcPr>
          <w:p w:rsidR="00EB2698" w:rsidRPr="00E8321C" w:rsidRDefault="00EB2698" w:rsidP="001C1628">
            <w:pPr>
              <w:pStyle w:val="BodyText2"/>
              <w:widowControl w:val="0"/>
              <w:numPr>
                <w:ilvl w:val="0"/>
                <w:numId w:val="0"/>
              </w:numPr>
              <w:spacing w:after="0"/>
              <w:jc w:val="center"/>
              <w:rPr>
                <w:sz w:val="20"/>
              </w:rPr>
            </w:pPr>
            <w:r>
              <w:rPr>
                <w:sz w:val="20"/>
              </w:rPr>
              <w:t>2-on-1 CCCT with HRSG</w:t>
            </w:r>
          </w:p>
        </w:tc>
        <w:tc>
          <w:tcPr>
            <w:tcW w:w="1419" w:type="dxa"/>
            <w:vAlign w:val="center"/>
          </w:tcPr>
          <w:p w:rsidR="00EB2698" w:rsidRPr="00E8321C" w:rsidRDefault="00EB2698" w:rsidP="001C1628">
            <w:pPr>
              <w:pStyle w:val="BodyText2"/>
              <w:widowControl w:val="0"/>
              <w:numPr>
                <w:ilvl w:val="0"/>
                <w:numId w:val="0"/>
              </w:numPr>
              <w:spacing w:after="0"/>
              <w:jc w:val="center"/>
              <w:rPr>
                <w:sz w:val="20"/>
              </w:rPr>
            </w:pPr>
            <w:r>
              <w:rPr>
                <w:sz w:val="20"/>
              </w:rPr>
              <w:t>1,200 MW</w:t>
            </w:r>
          </w:p>
        </w:tc>
        <w:tc>
          <w:tcPr>
            <w:tcW w:w="1564" w:type="dxa"/>
            <w:vMerge/>
            <w:vAlign w:val="center"/>
          </w:tcPr>
          <w:p w:rsidR="00EB2698" w:rsidRDefault="00EB2698" w:rsidP="001C1628">
            <w:pPr>
              <w:pStyle w:val="BodyText2"/>
              <w:widowControl w:val="0"/>
              <w:numPr>
                <w:ilvl w:val="0"/>
                <w:numId w:val="0"/>
              </w:numPr>
              <w:spacing w:after="0"/>
              <w:jc w:val="center"/>
              <w:rPr>
                <w:sz w:val="20"/>
              </w:rPr>
            </w:pPr>
          </w:p>
        </w:tc>
        <w:tc>
          <w:tcPr>
            <w:tcW w:w="1238" w:type="dxa"/>
            <w:vMerge/>
            <w:vAlign w:val="center"/>
          </w:tcPr>
          <w:p w:rsidR="00EB2698" w:rsidRDefault="00EB2698" w:rsidP="001C1628">
            <w:pPr>
              <w:pStyle w:val="BodyText2"/>
              <w:widowControl w:val="0"/>
              <w:numPr>
                <w:ilvl w:val="0"/>
                <w:numId w:val="0"/>
              </w:numPr>
              <w:spacing w:after="0"/>
              <w:jc w:val="center"/>
              <w:rPr>
                <w:sz w:val="20"/>
              </w:rPr>
            </w:pPr>
          </w:p>
        </w:tc>
        <w:tc>
          <w:tcPr>
            <w:tcW w:w="1725" w:type="dxa"/>
            <w:vMerge/>
            <w:tcBorders>
              <w:right w:val="single" w:sz="12" w:space="0" w:color="auto"/>
            </w:tcBorders>
            <w:vAlign w:val="center"/>
          </w:tcPr>
          <w:p w:rsidR="00EB2698" w:rsidRDefault="00EB2698" w:rsidP="001C1628">
            <w:pPr>
              <w:pStyle w:val="BodyText2"/>
              <w:widowControl w:val="0"/>
              <w:numPr>
                <w:ilvl w:val="0"/>
                <w:numId w:val="0"/>
              </w:numPr>
              <w:spacing w:after="0"/>
              <w:jc w:val="center"/>
              <w:rPr>
                <w:sz w:val="20"/>
              </w:rPr>
            </w:pPr>
          </w:p>
        </w:tc>
      </w:tr>
      <w:tr w:rsidR="00EB2698" w:rsidRPr="00E8321C" w:rsidTr="00553525">
        <w:trPr>
          <w:trHeight w:val="575"/>
        </w:trPr>
        <w:tc>
          <w:tcPr>
            <w:tcW w:w="1151" w:type="dxa"/>
            <w:tcBorders>
              <w:lef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GA-0138</w:t>
            </w:r>
          </w:p>
        </w:tc>
        <w:tc>
          <w:tcPr>
            <w:tcW w:w="1205" w:type="dxa"/>
            <w:vAlign w:val="center"/>
          </w:tcPr>
          <w:p w:rsidR="00EB2698" w:rsidRPr="00E8321C" w:rsidRDefault="00EB2698" w:rsidP="001C1628">
            <w:pPr>
              <w:pStyle w:val="BodyText2"/>
              <w:widowControl w:val="0"/>
              <w:numPr>
                <w:ilvl w:val="0"/>
                <w:numId w:val="0"/>
              </w:numPr>
              <w:spacing w:after="0"/>
              <w:jc w:val="center"/>
              <w:rPr>
                <w:sz w:val="20"/>
              </w:rPr>
            </w:pPr>
            <w:r>
              <w:rPr>
                <w:sz w:val="20"/>
              </w:rPr>
              <w:t>04/08/2010</w:t>
            </w:r>
          </w:p>
        </w:tc>
        <w:tc>
          <w:tcPr>
            <w:tcW w:w="1463" w:type="dxa"/>
            <w:vAlign w:val="center"/>
          </w:tcPr>
          <w:p w:rsidR="00EB2698" w:rsidRPr="00E8321C" w:rsidRDefault="00EB2698" w:rsidP="001C1628">
            <w:pPr>
              <w:pStyle w:val="BodyText2"/>
              <w:widowControl w:val="0"/>
              <w:numPr>
                <w:ilvl w:val="0"/>
                <w:numId w:val="0"/>
              </w:numPr>
              <w:spacing w:after="0"/>
              <w:jc w:val="center"/>
              <w:rPr>
                <w:sz w:val="20"/>
              </w:rPr>
            </w:pPr>
            <w:r w:rsidRPr="00E8321C">
              <w:rPr>
                <w:sz w:val="20"/>
              </w:rPr>
              <w:t>2-on-1 CCCT with HRSG</w:t>
            </w:r>
          </w:p>
        </w:tc>
        <w:tc>
          <w:tcPr>
            <w:tcW w:w="1419" w:type="dxa"/>
            <w:vAlign w:val="center"/>
          </w:tcPr>
          <w:p w:rsidR="00EB2698" w:rsidRPr="00E8321C" w:rsidRDefault="00EB2698" w:rsidP="001C1628">
            <w:pPr>
              <w:pStyle w:val="BodyText2"/>
              <w:widowControl w:val="0"/>
              <w:numPr>
                <w:ilvl w:val="0"/>
                <w:numId w:val="0"/>
              </w:numPr>
              <w:spacing w:after="0"/>
              <w:jc w:val="center"/>
              <w:rPr>
                <w:sz w:val="20"/>
              </w:rPr>
            </w:pPr>
            <w:r w:rsidRPr="00E8321C">
              <w:rPr>
                <w:sz w:val="20"/>
              </w:rPr>
              <w:t>600 MW</w:t>
            </w:r>
          </w:p>
        </w:tc>
        <w:tc>
          <w:tcPr>
            <w:tcW w:w="1564" w:type="dxa"/>
            <w:vAlign w:val="center"/>
          </w:tcPr>
          <w:p w:rsidR="00EB2698" w:rsidRPr="00E8321C" w:rsidRDefault="00EB2698" w:rsidP="001C1628">
            <w:pPr>
              <w:pStyle w:val="BodyText2"/>
              <w:widowControl w:val="0"/>
              <w:numPr>
                <w:ilvl w:val="0"/>
                <w:numId w:val="0"/>
              </w:numPr>
              <w:spacing w:after="0"/>
              <w:jc w:val="center"/>
              <w:rPr>
                <w:sz w:val="20"/>
              </w:rPr>
            </w:pPr>
            <w:r>
              <w:rPr>
                <w:sz w:val="20"/>
              </w:rPr>
              <w:t>0.5 gr S/100 scf</w:t>
            </w:r>
          </w:p>
        </w:tc>
        <w:tc>
          <w:tcPr>
            <w:tcW w:w="1238" w:type="dxa"/>
            <w:vAlign w:val="center"/>
          </w:tcPr>
          <w:p w:rsidR="00EB2698" w:rsidRPr="00E8321C" w:rsidRDefault="00EB2698" w:rsidP="001C1628">
            <w:pPr>
              <w:pStyle w:val="BodyText2"/>
              <w:widowControl w:val="0"/>
              <w:numPr>
                <w:ilvl w:val="0"/>
                <w:numId w:val="0"/>
              </w:numPr>
              <w:spacing w:after="0"/>
              <w:jc w:val="center"/>
              <w:rPr>
                <w:sz w:val="20"/>
              </w:rPr>
            </w:pPr>
            <w:r>
              <w:rPr>
                <w:sz w:val="20"/>
              </w:rPr>
              <w:t>--</w:t>
            </w:r>
          </w:p>
        </w:tc>
        <w:tc>
          <w:tcPr>
            <w:tcW w:w="1725" w:type="dxa"/>
            <w:tcBorders>
              <w:righ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Low sulfur fuel</w:t>
            </w:r>
          </w:p>
        </w:tc>
      </w:tr>
      <w:tr w:rsidR="00EB2698" w:rsidRPr="00E8321C" w:rsidTr="00553525">
        <w:trPr>
          <w:trHeight w:val="882"/>
        </w:trPr>
        <w:tc>
          <w:tcPr>
            <w:tcW w:w="1151" w:type="dxa"/>
            <w:tcBorders>
              <w:lef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KY-0106</w:t>
            </w:r>
          </w:p>
        </w:tc>
        <w:tc>
          <w:tcPr>
            <w:tcW w:w="1205" w:type="dxa"/>
            <w:vAlign w:val="center"/>
          </w:tcPr>
          <w:p w:rsidR="00EB2698" w:rsidRPr="00E8321C" w:rsidRDefault="00EB2698" w:rsidP="001C1628">
            <w:pPr>
              <w:pStyle w:val="BodyText2"/>
              <w:widowControl w:val="0"/>
              <w:numPr>
                <w:ilvl w:val="0"/>
                <w:numId w:val="0"/>
              </w:numPr>
              <w:spacing w:after="0"/>
              <w:jc w:val="center"/>
              <w:rPr>
                <w:sz w:val="20"/>
              </w:rPr>
            </w:pPr>
            <w:r>
              <w:rPr>
                <w:sz w:val="20"/>
              </w:rPr>
              <w:t>09/30/2016</w:t>
            </w:r>
          </w:p>
        </w:tc>
        <w:tc>
          <w:tcPr>
            <w:tcW w:w="1463" w:type="dxa"/>
            <w:vAlign w:val="center"/>
          </w:tcPr>
          <w:p w:rsidR="00EB2698" w:rsidRPr="00281E57" w:rsidRDefault="00EB2698" w:rsidP="001C1628">
            <w:pPr>
              <w:pStyle w:val="BodyText2"/>
              <w:widowControl w:val="0"/>
              <w:numPr>
                <w:ilvl w:val="0"/>
                <w:numId w:val="0"/>
              </w:numPr>
              <w:spacing w:after="0"/>
              <w:jc w:val="center"/>
              <w:rPr>
                <w:sz w:val="20"/>
              </w:rPr>
            </w:pPr>
            <w:r>
              <w:rPr>
                <w:color w:val="000000"/>
                <w:sz w:val="20"/>
              </w:rPr>
              <w:t>3-on-1 and 2-on-1 CCCT with HRSG</w:t>
            </w:r>
          </w:p>
        </w:tc>
        <w:tc>
          <w:tcPr>
            <w:tcW w:w="1419" w:type="dxa"/>
            <w:vAlign w:val="center"/>
          </w:tcPr>
          <w:p w:rsidR="00EB2698" w:rsidRPr="00E8321C" w:rsidRDefault="00EB2698" w:rsidP="001C1628">
            <w:pPr>
              <w:pStyle w:val="BodyText2"/>
              <w:widowControl w:val="0"/>
              <w:numPr>
                <w:ilvl w:val="0"/>
                <w:numId w:val="0"/>
              </w:numPr>
              <w:spacing w:after="0"/>
              <w:jc w:val="center"/>
              <w:rPr>
                <w:sz w:val="20"/>
              </w:rPr>
            </w:pPr>
            <w:r>
              <w:rPr>
                <w:sz w:val="20"/>
              </w:rPr>
              <w:t>1,700 MW</w:t>
            </w:r>
          </w:p>
        </w:tc>
        <w:tc>
          <w:tcPr>
            <w:tcW w:w="1564" w:type="dxa"/>
            <w:vAlign w:val="center"/>
          </w:tcPr>
          <w:p w:rsidR="00EB2698" w:rsidRPr="00805FB0" w:rsidRDefault="00EB2698" w:rsidP="001C1628">
            <w:pPr>
              <w:pStyle w:val="BodyText2"/>
              <w:widowControl w:val="0"/>
              <w:numPr>
                <w:ilvl w:val="0"/>
                <w:numId w:val="0"/>
              </w:numPr>
              <w:spacing w:after="0"/>
              <w:jc w:val="center"/>
              <w:rPr>
                <w:b/>
                <w:sz w:val="20"/>
              </w:rPr>
            </w:pPr>
            <w:r>
              <w:rPr>
                <w:sz w:val="20"/>
              </w:rPr>
              <w:t>13.78 lb/hour</w:t>
            </w:r>
            <w:r w:rsidR="00D2548B">
              <w:rPr>
                <w:b/>
                <w:sz w:val="24"/>
                <w:szCs w:val="24"/>
                <w:vertAlign w:val="superscript"/>
              </w:rPr>
              <w:t xml:space="preserve"> </w:t>
            </w:r>
            <w:r w:rsidR="00D2548B">
              <w:rPr>
                <w:b/>
                <w:sz w:val="24"/>
                <w:szCs w:val="24"/>
                <w:vertAlign w:val="superscript"/>
              </w:rPr>
              <w:fldChar w:fldCharType="begin"/>
            </w:r>
            <w:r w:rsidR="00D2548B">
              <w:rPr>
                <w:b/>
                <w:sz w:val="24"/>
                <w:szCs w:val="24"/>
                <w:vertAlign w:val="superscript"/>
              </w:rPr>
              <w:instrText xml:space="preserve"> REF _Ref511304521 \r \h </w:instrText>
            </w:r>
            <w:r w:rsidR="00553525">
              <w:rPr>
                <w:b/>
                <w:sz w:val="24"/>
                <w:szCs w:val="24"/>
                <w:vertAlign w:val="superscript"/>
              </w:rPr>
              <w:instrText xml:space="preserve"> \* MERGEFORMAT </w:instrText>
            </w:r>
            <w:r w:rsidR="00D2548B">
              <w:rPr>
                <w:b/>
                <w:sz w:val="24"/>
                <w:szCs w:val="24"/>
                <w:vertAlign w:val="superscript"/>
              </w:rPr>
            </w:r>
            <w:r w:rsidR="00D2548B">
              <w:rPr>
                <w:b/>
                <w:sz w:val="24"/>
                <w:szCs w:val="24"/>
                <w:vertAlign w:val="superscript"/>
              </w:rPr>
              <w:fldChar w:fldCharType="separate"/>
            </w:r>
            <w:r w:rsidR="003E3FA4">
              <w:rPr>
                <w:b/>
                <w:sz w:val="24"/>
                <w:szCs w:val="24"/>
                <w:vertAlign w:val="superscript"/>
              </w:rPr>
              <w:t>a</w:t>
            </w:r>
            <w:r w:rsidR="00D2548B">
              <w:rPr>
                <w:b/>
                <w:sz w:val="24"/>
                <w:szCs w:val="24"/>
                <w:vertAlign w:val="superscript"/>
              </w:rPr>
              <w:fldChar w:fldCharType="end"/>
            </w:r>
            <w:r w:rsidR="00D2548B">
              <w:rPr>
                <w:b/>
                <w:sz w:val="24"/>
                <w:szCs w:val="24"/>
                <w:vertAlign w:val="superscript"/>
              </w:rPr>
              <w:t>,</w:t>
            </w:r>
            <w:r w:rsidR="00D2548B">
              <w:rPr>
                <w:b/>
                <w:sz w:val="24"/>
                <w:szCs w:val="24"/>
                <w:vertAlign w:val="superscript"/>
              </w:rPr>
              <w:fldChar w:fldCharType="begin"/>
            </w:r>
            <w:r w:rsidR="00D2548B">
              <w:rPr>
                <w:b/>
                <w:sz w:val="24"/>
                <w:szCs w:val="24"/>
                <w:vertAlign w:val="superscript"/>
              </w:rPr>
              <w:instrText xml:space="preserve"> REF _Ref511304528 \r \h </w:instrText>
            </w:r>
            <w:r w:rsidR="00553525">
              <w:rPr>
                <w:b/>
                <w:sz w:val="24"/>
                <w:szCs w:val="24"/>
                <w:vertAlign w:val="superscript"/>
              </w:rPr>
              <w:instrText xml:space="preserve"> \* MERGEFORMAT </w:instrText>
            </w:r>
            <w:r w:rsidR="00D2548B">
              <w:rPr>
                <w:b/>
                <w:sz w:val="24"/>
                <w:szCs w:val="24"/>
                <w:vertAlign w:val="superscript"/>
              </w:rPr>
            </w:r>
            <w:r w:rsidR="00D2548B">
              <w:rPr>
                <w:b/>
                <w:sz w:val="24"/>
                <w:szCs w:val="24"/>
                <w:vertAlign w:val="superscript"/>
              </w:rPr>
              <w:fldChar w:fldCharType="separate"/>
            </w:r>
            <w:r w:rsidR="003E3FA4">
              <w:rPr>
                <w:b/>
                <w:sz w:val="24"/>
                <w:szCs w:val="24"/>
                <w:vertAlign w:val="superscript"/>
              </w:rPr>
              <w:t>b</w:t>
            </w:r>
            <w:r w:rsidR="00D2548B">
              <w:rPr>
                <w:b/>
                <w:sz w:val="24"/>
                <w:szCs w:val="24"/>
                <w:vertAlign w:val="superscript"/>
              </w:rPr>
              <w:fldChar w:fldCharType="end"/>
            </w:r>
          </w:p>
        </w:tc>
        <w:tc>
          <w:tcPr>
            <w:tcW w:w="1238" w:type="dxa"/>
            <w:vAlign w:val="center"/>
          </w:tcPr>
          <w:p w:rsidR="00EB2698" w:rsidRPr="00E8321C" w:rsidRDefault="00EB2698" w:rsidP="001C1628">
            <w:pPr>
              <w:pStyle w:val="BodyText2"/>
              <w:widowControl w:val="0"/>
              <w:numPr>
                <w:ilvl w:val="0"/>
                <w:numId w:val="0"/>
              </w:numPr>
              <w:spacing w:after="0"/>
              <w:jc w:val="center"/>
              <w:rPr>
                <w:sz w:val="20"/>
              </w:rPr>
            </w:pPr>
            <w:r>
              <w:rPr>
                <w:sz w:val="20"/>
              </w:rPr>
              <w:t>24-hr average</w:t>
            </w:r>
          </w:p>
        </w:tc>
        <w:tc>
          <w:tcPr>
            <w:tcW w:w="1725" w:type="dxa"/>
            <w:tcBorders>
              <w:right w:val="single" w:sz="12" w:space="0" w:color="auto"/>
            </w:tcBorders>
            <w:vAlign w:val="center"/>
          </w:tcPr>
          <w:p w:rsidR="00EB2698" w:rsidRPr="00E8321C" w:rsidRDefault="00EB2698" w:rsidP="001C1628">
            <w:pPr>
              <w:pStyle w:val="BodyText2"/>
              <w:widowControl w:val="0"/>
              <w:numPr>
                <w:ilvl w:val="0"/>
                <w:numId w:val="0"/>
              </w:numPr>
              <w:spacing w:after="0"/>
              <w:jc w:val="center"/>
              <w:rPr>
                <w:sz w:val="20"/>
              </w:rPr>
            </w:pPr>
            <w:r>
              <w:rPr>
                <w:sz w:val="20"/>
              </w:rPr>
              <w:t>Low sulfur fuel (1 gr S/100 scf)</w:t>
            </w:r>
          </w:p>
        </w:tc>
      </w:tr>
      <w:tr w:rsidR="00EB2698" w:rsidRPr="00E8321C" w:rsidTr="00553525">
        <w:trPr>
          <w:trHeight w:val="575"/>
        </w:trPr>
        <w:tc>
          <w:tcPr>
            <w:tcW w:w="1151" w:type="dxa"/>
            <w:tcBorders>
              <w:left w:val="single" w:sz="12" w:space="0" w:color="auto"/>
              <w:bottom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LA-0313</w:t>
            </w:r>
          </w:p>
        </w:tc>
        <w:tc>
          <w:tcPr>
            <w:tcW w:w="1205" w:type="dxa"/>
            <w:tcBorders>
              <w:bottom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08/31/2016</w:t>
            </w:r>
          </w:p>
        </w:tc>
        <w:tc>
          <w:tcPr>
            <w:tcW w:w="1463" w:type="dxa"/>
            <w:tcBorders>
              <w:bottom w:val="single" w:sz="12" w:space="0" w:color="auto"/>
            </w:tcBorders>
            <w:vAlign w:val="center"/>
          </w:tcPr>
          <w:p w:rsidR="00EB2698" w:rsidRDefault="00EB2698" w:rsidP="001C1628">
            <w:pPr>
              <w:pStyle w:val="BodyText2"/>
              <w:widowControl w:val="0"/>
              <w:numPr>
                <w:ilvl w:val="0"/>
                <w:numId w:val="0"/>
              </w:numPr>
              <w:spacing w:after="0"/>
              <w:jc w:val="center"/>
              <w:rPr>
                <w:color w:val="000000"/>
                <w:sz w:val="20"/>
              </w:rPr>
            </w:pPr>
            <w:r w:rsidRPr="00E8321C">
              <w:rPr>
                <w:sz w:val="20"/>
              </w:rPr>
              <w:t>2-on-1 CCCT with HRSG</w:t>
            </w:r>
          </w:p>
        </w:tc>
        <w:tc>
          <w:tcPr>
            <w:tcW w:w="1419" w:type="dxa"/>
            <w:tcBorders>
              <w:bottom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980 MW</w:t>
            </w:r>
          </w:p>
        </w:tc>
        <w:tc>
          <w:tcPr>
            <w:tcW w:w="1564" w:type="dxa"/>
            <w:tcBorders>
              <w:bottom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0.008 lb/MMBtu</w:t>
            </w:r>
          </w:p>
        </w:tc>
        <w:tc>
          <w:tcPr>
            <w:tcW w:w="1238" w:type="dxa"/>
            <w:tcBorders>
              <w:bottom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3-hour average</w:t>
            </w:r>
          </w:p>
        </w:tc>
        <w:tc>
          <w:tcPr>
            <w:tcW w:w="1725" w:type="dxa"/>
            <w:tcBorders>
              <w:bottom w:val="single" w:sz="12" w:space="0" w:color="auto"/>
              <w:right w:val="single" w:sz="12" w:space="0" w:color="auto"/>
            </w:tcBorders>
            <w:vAlign w:val="center"/>
          </w:tcPr>
          <w:p w:rsidR="00EB2698" w:rsidRDefault="00EB2698" w:rsidP="001C1628">
            <w:pPr>
              <w:pStyle w:val="BodyText2"/>
              <w:widowControl w:val="0"/>
              <w:numPr>
                <w:ilvl w:val="0"/>
                <w:numId w:val="0"/>
              </w:numPr>
              <w:spacing w:after="0"/>
              <w:jc w:val="center"/>
              <w:rPr>
                <w:sz w:val="20"/>
              </w:rPr>
            </w:pPr>
            <w:r>
              <w:rPr>
                <w:sz w:val="20"/>
              </w:rPr>
              <w:t>GCP, clean fuels</w:t>
            </w:r>
          </w:p>
        </w:tc>
      </w:tr>
      <w:tr w:rsidR="00EB2698" w:rsidRPr="00E8321C" w:rsidTr="00553525">
        <w:trPr>
          <w:trHeight w:val="594"/>
        </w:trPr>
        <w:tc>
          <w:tcPr>
            <w:tcW w:w="9768" w:type="dxa"/>
            <w:gridSpan w:val="7"/>
            <w:tcBorders>
              <w:top w:val="single" w:sz="12" w:space="0" w:color="auto"/>
              <w:left w:val="single" w:sz="12" w:space="0" w:color="auto"/>
              <w:bottom w:val="single" w:sz="12" w:space="0" w:color="auto"/>
              <w:right w:val="single" w:sz="12" w:space="0" w:color="auto"/>
            </w:tcBorders>
          </w:tcPr>
          <w:p w:rsidR="00EB2698" w:rsidRPr="00E8321C" w:rsidRDefault="00EB2698" w:rsidP="00D2548B">
            <w:pPr>
              <w:pStyle w:val="BodyText2"/>
              <w:widowControl w:val="0"/>
              <w:numPr>
                <w:ilvl w:val="0"/>
                <w:numId w:val="36"/>
              </w:numPr>
              <w:spacing w:after="0"/>
              <w:jc w:val="left"/>
              <w:rPr>
                <w:sz w:val="20"/>
              </w:rPr>
            </w:pPr>
            <w:bookmarkStart w:id="41" w:name="_Ref511304521"/>
            <w:r w:rsidRPr="00E8321C">
              <w:rPr>
                <w:sz w:val="20"/>
              </w:rPr>
              <w:t>Limit is for combined cycle mode of operation with duct burner firing.</w:t>
            </w:r>
            <w:bookmarkEnd w:id="41"/>
          </w:p>
          <w:p w:rsidR="00EB2698" w:rsidRDefault="00EB2698" w:rsidP="00D2548B">
            <w:pPr>
              <w:pStyle w:val="BodyText2"/>
              <w:widowControl w:val="0"/>
              <w:numPr>
                <w:ilvl w:val="0"/>
                <w:numId w:val="36"/>
              </w:numPr>
              <w:spacing w:after="0"/>
              <w:jc w:val="left"/>
              <w:rPr>
                <w:sz w:val="20"/>
              </w:rPr>
            </w:pPr>
            <w:bookmarkStart w:id="42" w:name="_Ref511304528"/>
            <w:r>
              <w:rPr>
                <w:sz w:val="20"/>
              </w:rPr>
              <w:t>Limit is for PM</w:t>
            </w:r>
            <w:r>
              <w:rPr>
                <w:sz w:val="20"/>
                <w:vertAlign w:val="subscript"/>
              </w:rPr>
              <w:t>10</w:t>
            </w:r>
            <w:r>
              <w:rPr>
                <w:sz w:val="20"/>
              </w:rPr>
              <w:t>.</w:t>
            </w:r>
            <w:bookmarkEnd w:id="42"/>
          </w:p>
        </w:tc>
      </w:tr>
    </w:tbl>
    <w:p w:rsidR="00297927" w:rsidRDefault="00297927" w:rsidP="00EB2698">
      <w:pPr>
        <w:widowControl w:val="0"/>
        <w:spacing w:before="120" w:after="120"/>
        <w:rPr>
          <w:sz w:val="22"/>
          <w:szCs w:val="22"/>
          <w:u w:val="single"/>
        </w:rPr>
      </w:pPr>
      <w:r w:rsidRPr="00297927">
        <w:rPr>
          <w:sz w:val="22"/>
          <w:szCs w:val="22"/>
          <w:u w:val="single"/>
        </w:rPr>
        <w:t>Evaluation of Economic, Environmental, and Energy Impacts of Feasible Technologies</w:t>
      </w:r>
    </w:p>
    <w:p w:rsidR="00297927" w:rsidRPr="005160B9" w:rsidRDefault="005160B9" w:rsidP="005160B9">
      <w:pPr>
        <w:widowControl w:val="0"/>
        <w:spacing w:before="120" w:after="120"/>
        <w:rPr>
          <w:sz w:val="22"/>
          <w:szCs w:val="22"/>
        </w:rPr>
      </w:pPr>
      <w:r w:rsidRPr="005160B9">
        <w:rPr>
          <w:sz w:val="22"/>
          <w:szCs w:val="22"/>
        </w:rPr>
        <w:t xml:space="preserve">The </w:t>
      </w:r>
      <w:r w:rsidR="0022635D">
        <w:rPr>
          <w:sz w:val="22"/>
          <w:szCs w:val="22"/>
        </w:rPr>
        <w:t xml:space="preserve">applicant identified the </w:t>
      </w:r>
      <w:r w:rsidRPr="005160B9">
        <w:rPr>
          <w:sz w:val="22"/>
          <w:szCs w:val="22"/>
        </w:rPr>
        <w:t>use of GCP and clean fuels to result in the lowest economic, environmental and energy</w:t>
      </w:r>
      <w:r>
        <w:rPr>
          <w:sz w:val="22"/>
          <w:szCs w:val="22"/>
        </w:rPr>
        <w:t xml:space="preserve"> </w:t>
      </w:r>
      <w:r w:rsidRPr="005160B9">
        <w:rPr>
          <w:sz w:val="22"/>
          <w:szCs w:val="22"/>
        </w:rPr>
        <w:t>impacts in reducing emissions of PM</w:t>
      </w:r>
      <w:r w:rsidRPr="00FD3EBC">
        <w:rPr>
          <w:sz w:val="22"/>
          <w:szCs w:val="22"/>
        </w:rPr>
        <w:t xml:space="preserve">. </w:t>
      </w:r>
      <w:r w:rsidR="0022635D" w:rsidRPr="00FD3EBC">
        <w:rPr>
          <w:sz w:val="22"/>
          <w:szCs w:val="22"/>
        </w:rPr>
        <w:t xml:space="preserve"> </w:t>
      </w:r>
      <w:r w:rsidR="001C1628" w:rsidRPr="00FD3EBC">
        <w:rPr>
          <w:sz w:val="22"/>
          <w:szCs w:val="22"/>
        </w:rPr>
        <w:t>T</w:t>
      </w:r>
      <w:r w:rsidR="0027260C" w:rsidRPr="00FD3EBC">
        <w:rPr>
          <w:sz w:val="22"/>
          <w:szCs w:val="22"/>
        </w:rPr>
        <w:t>he</w:t>
      </w:r>
      <w:r w:rsidRPr="00FD3EBC">
        <w:rPr>
          <w:sz w:val="22"/>
          <w:szCs w:val="22"/>
        </w:rPr>
        <w:t xml:space="preserve"> PM exhaust concentration of the </w:t>
      </w:r>
      <w:r w:rsidR="004F7A4C" w:rsidRPr="00FD3EBC">
        <w:rPr>
          <w:sz w:val="22"/>
          <w:szCs w:val="22"/>
        </w:rPr>
        <w:t xml:space="preserve">proposed </w:t>
      </w:r>
      <w:r w:rsidRPr="00FD3EBC">
        <w:rPr>
          <w:sz w:val="22"/>
          <w:szCs w:val="22"/>
        </w:rPr>
        <w:t>CTG</w:t>
      </w:r>
      <w:r w:rsidR="0022635D" w:rsidRPr="00FD3EBC">
        <w:rPr>
          <w:sz w:val="22"/>
          <w:szCs w:val="22"/>
        </w:rPr>
        <w:t>/</w:t>
      </w:r>
      <w:r w:rsidRPr="00FD3EBC">
        <w:rPr>
          <w:sz w:val="22"/>
          <w:szCs w:val="22"/>
        </w:rPr>
        <w:t xml:space="preserve">HRSG is </w:t>
      </w:r>
      <w:r w:rsidR="00F75737" w:rsidRPr="00FD3EBC">
        <w:rPr>
          <w:sz w:val="22"/>
          <w:szCs w:val="22"/>
        </w:rPr>
        <w:t xml:space="preserve">estimated to be </w:t>
      </w:r>
      <w:r w:rsidRPr="00FD3EBC">
        <w:rPr>
          <w:sz w:val="22"/>
          <w:szCs w:val="22"/>
        </w:rPr>
        <w:t xml:space="preserve">0.002 grains/standard cubic feet (gr/scf) or less </w:t>
      </w:r>
      <w:r w:rsidR="00FD3EBC" w:rsidRPr="00FD3EBC">
        <w:rPr>
          <w:sz w:val="22"/>
          <w:szCs w:val="22"/>
        </w:rPr>
        <w:t>which</w:t>
      </w:r>
      <w:r w:rsidRPr="00FD3EBC">
        <w:rPr>
          <w:sz w:val="22"/>
          <w:szCs w:val="22"/>
        </w:rPr>
        <w:t xml:space="preserve"> is lower than the typical design outlet conditions for add-on controls used on fossil fuel steam generators that fire coal and oil.</w:t>
      </w:r>
    </w:p>
    <w:p w:rsidR="002937DA" w:rsidRDefault="002937DA" w:rsidP="00EB2698">
      <w:pPr>
        <w:widowControl w:val="0"/>
        <w:spacing w:before="120" w:after="120"/>
        <w:rPr>
          <w:sz w:val="22"/>
          <w:szCs w:val="22"/>
          <w:u w:val="single"/>
        </w:rPr>
      </w:pPr>
      <w:r w:rsidRPr="006C19BE">
        <w:rPr>
          <w:sz w:val="22"/>
          <w:szCs w:val="22"/>
          <w:u w:val="single"/>
        </w:rPr>
        <w:t>Selection of BACT and Rationale</w:t>
      </w:r>
    </w:p>
    <w:p w:rsidR="002443DD" w:rsidRPr="002443DD" w:rsidRDefault="002443DD" w:rsidP="002937DA">
      <w:pPr>
        <w:widowControl w:val="0"/>
        <w:spacing w:after="120"/>
        <w:rPr>
          <w:i/>
          <w:sz w:val="22"/>
          <w:szCs w:val="22"/>
          <w:highlight w:val="yellow"/>
        </w:rPr>
      </w:pPr>
      <w:r>
        <w:rPr>
          <w:sz w:val="22"/>
          <w:szCs w:val="22"/>
        </w:rPr>
        <w:t xml:space="preserve">Due to the </w:t>
      </w:r>
      <w:r w:rsidR="000D364F">
        <w:rPr>
          <w:sz w:val="22"/>
          <w:szCs w:val="22"/>
        </w:rPr>
        <w:t>infeasibility of the remaining control options, GCP and clean fuels have been selected as the top control option for PM emissions.</w:t>
      </w:r>
      <w:r w:rsidR="00ED40F0">
        <w:rPr>
          <w:sz w:val="22"/>
          <w:szCs w:val="22"/>
        </w:rPr>
        <w:t xml:space="preserve">  </w:t>
      </w:r>
      <w:r w:rsidR="00ED40F0" w:rsidRPr="00ED40F0">
        <w:rPr>
          <w:sz w:val="22"/>
          <w:szCs w:val="22"/>
        </w:rPr>
        <w:t>The applicant has proposed the use of clean fuels and GCPs as BACT for PM</w:t>
      </w:r>
      <w:r w:rsidR="007B2218">
        <w:rPr>
          <w:sz w:val="22"/>
          <w:szCs w:val="22"/>
        </w:rPr>
        <w:t xml:space="preserve">, along with </w:t>
      </w:r>
      <w:r w:rsidR="00ED40F0" w:rsidRPr="00ED40F0">
        <w:rPr>
          <w:sz w:val="22"/>
          <w:szCs w:val="22"/>
        </w:rPr>
        <w:t>an emissions standard for opacity of 10% to ensure proper combustion and low emissions of PM.</w:t>
      </w:r>
    </w:p>
    <w:p w:rsidR="0037352D" w:rsidRPr="0037352D" w:rsidRDefault="00AD1654" w:rsidP="0037352D">
      <w:pPr>
        <w:widowControl w:val="0"/>
        <w:spacing w:before="120" w:after="120"/>
        <w:rPr>
          <w:sz w:val="22"/>
          <w:szCs w:val="22"/>
        </w:rPr>
      </w:pPr>
      <w:r w:rsidRPr="00AD1654">
        <w:rPr>
          <w:sz w:val="22"/>
          <w:szCs w:val="22"/>
        </w:rPr>
        <w:t xml:space="preserve">The Department agrees that the combination of </w:t>
      </w:r>
      <w:r w:rsidR="00AA5586">
        <w:rPr>
          <w:sz w:val="22"/>
          <w:szCs w:val="22"/>
        </w:rPr>
        <w:t>GCP</w:t>
      </w:r>
      <w:r w:rsidRPr="00AD1654">
        <w:rPr>
          <w:sz w:val="22"/>
          <w:szCs w:val="22"/>
        </w:rPr>
        <w:t xml:space="preserve"> and startup/shutdown work practice standards </w:t>
      </w:r>
      <w:r w:rsidR="00AA5586" w:rsidRPr="00AD1654">
        <w:rPr>
          <w:sz w:val="22"/>
          <w:szCs w:val="22"/>
        </w:rPr>
        <w:t xml:space="preserve">for this </w:t>
      </w:r>
      <w:r w:rsidR="00AA5586" w:rsidRPr="003466F7">
        <w:rPr>
          <w:sz w:val="22"/>
          <w:szCs w:val="22"/>
        </w:rPr>
        <w:t>project</w:t>
      </w:r>
      <w:r w:rsidR="00AA5586" w:rsidRPr="00AD1654">
        <w:rPr>
          <w:sz w:val="22"/>
          <w:szCs w:val="22"/>
        </w:rPr>
        <w:t xml:space="preserve"> </w:t>
      </w:r>
      <w:r w:rsidRPr="00AD1654">
        <w:rPr>
          <w:sz w:val="22"/>
          <w:szCs w:val="22"/>
        </w:rPr>
        <w:t xml:space="preserve">constitute </w:t>
      </w:r>
      <w:r w:rsidR="00AA5586">
        <w:rPr>
          <w:sz w:val="22"/>
          <w:szCs w:val="22"/>
        </w:rPr>
        <w:t xml:space="preserve">as </w:t>
      </w:r>
      <w:r w:rsidRPr="00AD1654">
        <w:rPr>
          <w:sz w:val="22"/>
          <w:szCs w:val="22"/>
        </w:rPr>
        <w:t xml:space="preserve">BACT for </w:t>
      </w:r>
      <w:r w:rsidR="006C44A4">
        <w:rPr>
          <w:sz w:val="22"/>
          <w:szCs w:val="22"/>
        </w:rPr>
        <w:t>PM</w:t>
      </w:r>
      <w:r w:rsidRPr="003466F7">
        <w:rPr>
          <w:sz w:val="22"/>
          <w:szCs w:val="22"/>
        </w:rPr>
        <w:t>.</w:t>
      </w:r>
      <w:r w:rsidR="0037352D" w:rsidRPr="003466F7">
        <w:rPr>
          <w:sz w:val="22"/>
          <w:szCs w:val="22"/>
        </w:rPr>
        <w:t xml:space="preserve"> </w:t>
      </w:r>
      <w:r w:rsidR="00C108CE" w:rsidRPr="003466F7">
        <w:rPr>
          <w:sz w:val="22"/>
          <w:szCs w:val="22"/>
        </w:rPr>
        <w:t xml:space="preserve"> </w:t>
      </w:r>
      <w:r w:rsidR="003466F7">
        <w:rPr>
          <w:sz w:val="22"/>
          <w:szCs w:val="22"/>
        </w:rPr>
        <w:t>T</w:t>
      </w:r>
      <w:r w:rsidR="003466F7" w:rsidRPr="003466F7">
        <w:rPr>
          <w:sz w:val="22"/>
          <w:szCs w:val="22"/>
        </w:rPr>
        <w:t xml:space="preserve">o maintain consistency with previous BACT determinations, </w:t>
      </w:r>
      <w:r w:rsidR="0037352D" w:rsidRPr="003466F7">
        <w:rPr>
          <w:sz w:val="22"/>
          <w:szCs w:val="22"/>
        </w:rPr>
        <w:t>the following conditions are established</w:t>
      </w:r>
      <w:r w:rsidR="0037352D" w:rsidRPr="0037352D">
        <w:rPr>
          <w:sz w:val="22"/>
          <w:szCs w:val="22"/>
        </w:rPr>
        <w:t xml:space="preserve"> as the draft BACT standards.</w:t>
      </w:r>
    </w:p>
    <w:p w:rsidR="0037352D" w:rsidRPr="0037352D" w:rsidRDefault="0037352D" w:rsidP="0037352D">
      <w:pPr>
        <w:widowControl w:val="0"/>
        <w:spacing w:before="120" w:after="120"/>
        <w:ind w:left="360" w:hanging="360"/>
        <w:rPr>
          <w:sz w:val="22"/>
          <w:szCs w:val="22"/>
        </w:rPr>
      </w:pPr>
      <w:r w:rsidRPr="0037352D">
        <w:rPr>
          <w:sz w:val="22"/>
          <w:szCs w:val="22"/>
        </w:rPr>
        <w:t>•</w:t>
      </w:r>
      <w:r w:rsidRPr="0037352D">
        <w:rPr>
          <w:sz w:val="22"/>
          <w:szCs w:val="22"/>
        </w:rPr>
        <w:tab/>
        <w:t xml:space="preserve">The </w:t>
      </w:r>
      <w:r>
        <w:rPr>
          <w:sz w:val="22"/>
          <w:szCs w:val="22"/>
        </w:rPr>
        <w:t>combustion</w:t>
      </w:r>
      <w:r w:rsidRPr="0037352D">
        <w:rPr>
          <w:sz w:val="22"/>
          <w:szCs w:val="22"/>
        </w:rPr>
        <w:t xml:space="preserve"> turbine shall fire natural gas as the </w:t>
      </w:r>
      <w:r>
        <w:rPr>
          <w:sz w:val="22"/>
          <w:szCs w:val="22"/>
        </w:rPr>
        <w:t xml:space="preserve">only permitted </w:t>
      </w:r>
      <w:r w:rsidRPr="0037352D">
        <w:rPr>
          <w:sz w:val="22"/>
          <w:szCs w:val="22"/>
        </w:rPr>
        <w:t>fuel, which shall contain no more than 2</w:t>
      </w:r>
      <w:r w:rsidR="00937D34">
        <w:rPr>
          <w:sz w:val="22"/>
          <w:szCs w:val="22"/>
        </w:rPr>
        <w:t>.0 gr.</w:t>
      </w:r>
      <w:r w:rsidR="00F62677">
        <w:rPr>
          <w:sz w:val="22"/>
          <w:szCs w:val="22"/>
        </w:rPr>
        <w:t xml:space="preserve"> sulfur</w:t>
      </w:r>
      <w:r w:rsidR="00937D34">
        <w:rPr>
          <w:sz w:val="22"/>
          <w:szCs w:val="22"/>
        </w:rPr>
        <w:t>/100 scf of natural gas.</w:t>
      </w:r>
    </w:p>
    <w:p w:rsidR="002937DA" w:rsidRPr="002C0FF5" w:rsidRDefault="0037352D" w:rsidP="0037352D">
      <w:pPr>
        <w:widowControl w:val="0"/>
        <w:spacing w:before="120" w:after="120"/>
        <w:rPr>
          <w:sz w:val="22"/>
          <w:szCs w:val="22"/>
        </w:rPr>
      </w:pPr>
      <w:r w:rsidRPr="0037352D">
        <w:rPr>
          <w:sz w:val="22"/>
          <w:szCs w:val="22"/>
        </w:rPr>
        <w:t>•</w:t>
      </w:r>
      <w:r w:rsidRPr="0037352D">
        <w:rPr>
          <w:sz w:val="22"/>
          <w:szCs w:val="22"/>
        </w:rPr>
        <w:tab/>
        <w:t>Visible emissions shall not exceed 10% opacity based on a 6-minute average.</w:t>
      </w:r>
      <w:r w:rsidR="00F62677">
        <w:rPr>
          <w:sz w:val="22"/>
          <w:szCs w:val="22"/>
        </w:rPr>
        <w:t xml:space="preserve">  </w:t>
      </w:r>
      <w:r w:rsidR="00F62677" w:rsidRPr="00F62677">
        <w:rPr>
          <w:sz w:val="22"/>
          <w:szCs w:val="22"/>
        </w:rPr>
        <w:t>Visible emissions during startup, shutdowns, SCR tuning, DLN turning, and malfunctions shall not exceed 10% opacity, except for up to six 6-minute average periods during a calendar day, which shall not exceed 20% opacity.</w:t>
      </w:r>
    </w:p>
    <w:p w:rsidR="00584D97" w:rsidRPr="007C3440" w:rsidRDefault="00584D97" w:rsidP="007C3440">
      <w:pPr>
        <w:pStyle w:val="ListParagraph"/>
        <w:widowControl w:val="0"/>
        <w:numPr>
          <w:ilvl w:val="3"/>
          <w:numId w:val="3"/>
        </w:numPr>
        <w:spacing w:after="120"/>
        <w:ind w:left="720" w:hanging="720"/>
        <w:contextualSpacing w:val="0"/>
        <w:rPr>
          <w:i/>
          <w:caps/>
          <w:sz w:val="22"/>
          <w:szCs w:val="22"/>
          <w:u w:val="single"/>
        </w:rPr>
      </w:pPr>
      <w:r w:rsidRPr="007C3440">
        <w:rPr>
          <w:i/>
          <w:sz w:val="22"/>
          <w:szCs w:val="22"/>
        </w:rPr>
        <w:t>SAM</w:t>
      </w:r>
      <w:r w:rsidR="00190881" w:rsidRPr="007C3440">
        <w:rPr>
          <w:i/>
          <w:sz w:val="22"/>
          <w:szCs w:val="22"/>
        </w:rPr>
        <w:t xml:space="preserve"> and </w:t>
      </w:r>
      <w:r w:rsidRPr="007C3440">
        <w:rPr>
          <w:i/>
          <w:sz w:val="22"/>
          <w:szCs w:val="22"/>
        </w:rPr>
        <w:t>SO</w:t>
      </w:r>
      <w:r w:rsidR="00190881" w:rsidRPr="007C3440">
        <w:rPr>
          <w:i/>
          <w:sz w:val="22"/>
          <w:szCs w:val="22"/>
          <w:vertAlign w:val="subscript"/>
        </w:rPr>
        <w:t>2</w:t>
      </w:r>
      <w:r w:rsidR="00190881" w:rsidRPr="007C3440">
        <w:rPr>
          <w:i/>
          <w:sz w:val="22"/>
          <w:szCs w:val="22"/>
        </w:rPr>
        <w:t xml:space="preserve"> Emissions</w:t>
      </w:r>
    </w:p>
    <w:p w:rsidR="005B0813" w:rsidRPr="000D7452" w:rsidRDefault="000D7452" w:rsidP="002937DA">
      <w:pPr>
        <w:widowControl w:val="0"/>
        <w:spacing w:after="120"/>
        <w:rPr>
          <w:sz w:val="22"/>
          <w:szCs w:val="22"/>
        </w:rPr>
      </w:pPr>
      <w:r w:rsidRPr="000D7452">
        <w:rPr>
          <w:sz w:val="22"/>
          <w:szCs w:val="22"/>
        </w:rPr>
        <w:t>Emissions of SAM and SO</w:t>
      </w:r>
      <w:r w:rsidRPr="000D7452">
        <w:rPr>
          <w:sz w:val="22"/>
          <w:szCs w:val="22"/>
          <w:vertAlign w:val="subscript"/>
        </w:rPr>
        <w:t>2</w:t>
      </w:r>
      <w:r w:rsidRPr="000D7452">
        <w:rPr>
          <w:sz w:val="22"/>
          <w:szCs w:val="22"/>
        </w:rPr>
        <w:t xml:space="preserve"> are caused from the sulfur content contained in fuels.  The employed control technologies for combustion sources consist of fuel treatment and post-combustion add-on controls that rely on chemical reactions within the control device to reduce the concentration of SO</w:t>
      </w:r>
      <w:r w:rsidRPr="000D7452">
        <w:rPr>
          <w:sz w:val="22"/>
          <w:szCs w:val="22"/>
          <w:vertAlign w:val="subscript"/>
        </w:rPr>
        <w:t>2</w:t>
      </w:r>
      <w:r w:rsidRPr="000D7452">
        <w:rPr>
          <w:sz w:val="22"/>
          <w:szCs w:val="22"/>
        </w:rPr>
        <w:t xml:space="preserve"> in the flue gas.</w:t>
      </w:r>
    </w:p>
    <w:p w:rsidR="002937DA" w:rsidRPr="006C19BE" w:rsidRDefault="002937DA" w:rsidP="002937DA">
      <w:pPr>
        <w:widowControl w:val="0"/>
        <w:spacing w:after="120"/>
        <w:rPr>
          <w:sz w:val="22"/>
          <w:szCs w:val="22"/>
          <w:u w:val="single"/>
        </w:rPr>
      </w:pPr>
      <w:r w:rsidRPr="006C19BE">
        <w:rPr>
          <w:sz w:val="22"/>
          <w:szCs w:val="22"/>
          <w:u w:val="single"/>
        </w:rPr>
        <w:t>Identification of Control Technologies</w:t>
      </w:r>
    </w:p>
    <w:p w:rsidR="006E6EF1" w:rsidRPr="006E6EF1" w:rsidRDefault="006E6EF1" w:rsidP="006E6EF1">
      <w:pPr>
        <w:widowControl w:val="0"/>
        <w:spacing w:after="120"/>
        <w:rPr>
          <w:sz w:val="22"/>
          <w:szCs w:val="22"/>
        </w:rPr>
      </w:pPr>
      <w:r w:rsidRPr="006E6EF1">
        <w:rPr>
          <w:i/>
          <w:sz w:val="22"/>
          <w:szCs w:val="22"/>
        </w:rPr>
        <w:t>Flue Gas Desulfurization (FGD)</w:t>
      </w:r>
      <w:r w:rsidR="005B312A">
        <w:rPr>
          <w:i/>
          <w:sz w:val="22"/>
          <w:szCs w:val="22"/>
        </w:rPr>
        <w:t>:</w:t>
      </w:r>
      <w:r w:rsidRPr="006E6EF1">
        <w:rPr>
          <w:sz w:val="22"/>
          <w:szCs w:val="22"/>
        </w:rPr>
        <w:t xml:space="preserve">  An FGD is an add-on control used for removing SO</w:t>
      </w:r>
      <w:r w:rsidRPr="006E6EF1">
        <w:rPr>
          <w:sz w:val="22"/>
          <w:szCs w:val="22"/>
          <w:vertAlign w:val="subscript"/>
        </w:rPr>
        <w:t>2</w:t>
      </w:r>
      <w:r w:rsidRPr="006E6EF1">
        <w:rPr>
          <w:sz w:val="22"/>
          <w:szCs w:val="22"/>
        </w:rPr>
        <w:t xml:space="preserve"> from the exhaust combustion flue gases of power plants that burn coal or oil.  FGD systems commonly employ alkaline sorbents such as lime or limestone to neutralize SAM and remove the SO</w:t>
      </w:r>
      <w:r w:rsidRPr="006E6EF1">
        <w:rPr>
          <w:sz w:val="22"/>
          <w:szCs w:val="22"/>
          <w:vertAlign w:val="subscript"/>
        </w:rPr>
        <w:t>2</w:t>
      </w:r>
      <w:r w:rsidRPr="006E6EF1">
        <w:rPr>
          <w:sz w:val="22"/>
          <w:szCs w:val="22"/>
        </w:rPr>
        <w:t xml:space="preserve"> from the flue gas.  Wet and dry scrubbers are potential FGD systems.  Wet scrubbers normally utilize limestone as the reagent which is slurried with water and sprayed into the flue gas stream in an absorber vessel.  The wet scrubbers create by-products such as calcium sulfite and/or calcium sulfate.  Unlike wet scrubbers, dry scrubbers utilize lime as the reagent and the by-products are in a dry-form to be captured downstream as PM.</w:t>
      </w:r>
    </w:p>
    <w:p w:rsidR="006E6EF1" w:rsidRPr="006E6EF1" w:rsidRDefault="006E6EF1" w:rsidP="006E6EF1">
      <w:pPr>
        <w:widowControl w:val="0"/>
        <w:spacing w:after="120"/>
        <w:rPr>
          <w:sz w:val="22"/>
          <w:szCs w:val="22"/>
        </w:rPr>
      </w:pPr>
      <w:r w:rsidRPr="006E6EF1">
        <w:rPr>
          <w:i/>
          <w:sz w:val="22"/>
          <w:szCs w:val="22"/>
        </w:rPr>
        <w:t>Clean Fuels</w:t>
      </w:r>
      <w:r w:rsidR="005B312A">
        <w:rPr>
          <w:i/>
          <w:sz w:val="22"/>
          <w:szCs w:val="22"/>
        </w:rPr>
        <w:t>:</w:t>
      </w:r>
      <w:r w:rsidRPr="006E6EF1">
        <w:rPr>
          <w:i/>
          <w:sz w:val="22"/>
          <w:szCs w:val="22"/>
        </w:rPr>
        <w:t xml:space="preserve">  </w:t>
      </w:r>
      <w:r w:rsidRPr="006E6EF1">
        <w:rPr>
          <w:sz w:val="22"/>
          <w:szCs w:val="22"/>
        </w:rPr>
        <w:t>Sulfur compound emissions are minimized through the use of clean-bur</w:t>
      </w:r>
      <w:r w:rsidR="00A13429">
        <w:rPr>
          <w:sz w:val="22"/>
          <w:szCs w:val="22"/>
        </w:rPr>
        <w:t>ning fuels, such as natural gas</w:t>
      </w:r>
      <w:r w:rsidRPr="006E6EF1">
        <w:rPr>
          <w:sz w:val="22"/>
          <w:szCs w:val="22"/>
        </w:rPr>
        <w:t>.</w:t>
      </w:r>
    </w:p>
    <w:p w:rsidR="006E6EF1" w:rsidRPr="006E6EF1" w:rsidRDefault="006E6EF1" w:rsidP="006E6EF1">
      <w:pPr>
        <w:widowControl w:val="0"/>
        <w:spacing w:after="120"/>
        <w:rPr>
          <w:sz w:val="22"/>
          <w:szCs w:val="22"/>
        </w:rPr>
      </w:pPr>
      <w:r w:rsidRPr="006E6EF1">
        <w:rPr>
          <w:i/>
          <w:sz w:val="22"/>
          <w:szCs w:val="22"/>
        </w:rPr>
        <w:t>Fuel Treatment</w:t>
      </w:r>
      <w:r w:rsidR="005B312A">
        <w:rPr>
          <w:i/>
          <w:sz w:val="22"/>
          <w:szCs w:val="22"/>
        </w:rPr>
        <w:t>:</w:t>
      </w:r>
      <w:r w:rsidRPr="006E6EF1">
        <w:rPr>
          <w:sz w:val="22"/>
          <w:szCs w:val="22"/>
        </w:rPr>
        <w:t xml:space="preserve">  Sulfur in oil can be removed through chemical desulfurization processes, but this is not a widely used commercial technology outside the petroleum industry.  Similarly, the desulfurization of natural gas is performed by the fuel supplier prior to distribution by pipeline.</w:t>
      </w:r>
    </w:p>
    <w:p w:rsidR="002937DA" w:rsidRPr="006C19BE" w:rsidRDefault="006E6EF1" w:rsidP="006E6EF1">
      <w:pPr>
        <w:widowControl w:val="0"/>
        <w:spacing w:after="120"/>
        <w:rPr>
          <w:i/>
          <w:sz w:val="22"/>
          <w:szCs w:val="22"/>
        </w:rPr>
      </w:pPr>
      <w:r w:rsidRPr="006E6EF1">
        <w:rPr>
          <w:i/>
          <w:sz w:val="22"/>
          <w:szCs w:val="22"/>
        </w:rPr>
        <w:t>GCP</w:t>
      </w:r>
      <w:r w:rsidR="005B312A">
        <w:rPr>
          <w:i/>
          <w:sz w:val="22"/>
          <w:szCs w:val="22"/>
        </w:rPr>
        <w:t>:</w:t>
      </w:r>
      <w:r w:rsidRPr="006E6EF1">
        <w:rPr>
          <w:i/>
          <w:sz w:val="22"/>
          <w:szCs w:val="22"/>
        </w:rPr>
        <w:t xml:space="preserve">  </w:t>
      </w:r>
      <w:r w:rsidRPr="006E6EF1">
        <w:rPr>
          <w:sz w:val="22"/>
          <w:szCs w:val="22"/>
        </w:rPr>
        <w:t>GCP can improve efficiency of conversion of fuel to electricity which would reduce the fuel consumption required and pollutant emissions per unit of electricity generated.</w:t>
      </w:r>
    </w:p>
    <w:p w:rsidR="002937DA" w:rsidRPr="006C19BE" w:rsidRDefault="002937DA" w:rsidP="002937DA">
      <w:pPr>
        <w:widowControl w:val="0"/>
        <w:spacing w:after="120"/>
        <w:rPr>
          <w:sz w:val="22"/>
          <w:szCs w:val="22"/>
          <w:u w:val="single"/>
        </w:rPr>
      </w:pPr>
      <w:r w:rsidRPr="006C19BE">
        <w:rPr>
          <w:sz w:val="22"/>
          <w:szCs w:val="22"/>
          <w:u w:val="single"/>
        </w:rPr>
        <w:t>Discussion of Technically Infeasible Control Options and Ranking of Remaining Options</w:t>
      </w:r>
    </w:p>
    <w:p w:rsidR="002937DA" w:rsidRPr="00AF092F" w:rsidRDefault="00D910C2" w:rsidP="002937DA">
      <w:pPr>
        <w:widowControl w:val="0"/>
        <w:spacing w:after="120"/>
        <w:rPr>
          <w:sz w:val="22"/>
          <w:szCs w:val="22"/>
          <w:u w:val="single"/>
        </w:rPr>
      </w:pPr>
      <w:r>
        <w:rPr>
          <w:sz w:val="22"/>
          <w:szCs w:val="22"/>
        </w:rPr>
        <w:t>Fuel treatment is infeasible for this project since the sulfur content in pipeline quality</w:t>
      </w:r>
      <w:r w:rsidR="00AF092F" w:rsidRPr="00AF092F">
        <w:rPr>
          <w:sz w:val="22"/>
          <w:szCs w:val="22"/>
        </w:rPr>
        <w:t xml:space="preserve"> </w:t>
      </w:r>
      <w:r>
        <w:rPr>
          <w:sz w:val="22"/>
          <w:szCs w:val="22"/>
        </w:rPr>
        <w:t>natural gas</w:t>
      </w:r>
      <w:r w:rsidR="00AF092F" w:rsidRPr="00AF092F">
        <w:rPr>
          <w:sz w:val="22"/>
          <w:szCs w:val="22"/>
        </w:rPr>
        <w:t xml:space="preserve"> is extremely low</w:t>
      </w:r>
      <w:r>
        <w:rPr>
          <w:sz w:val="22"/>
          <w:szCs w:val="22"/>
        </w:rPr>
        <w:t xml:space="preserve">.  Furthermore, </w:t>
      </w:r>
      <w:r w:rsidR="00793D5F">
        <w:rPr>
          <w:sz w:val="22"/>
          <w:szCs w:val="22"/>
        </w:rPr>
        <w:t>the installation of</w:t>
      </w:r>
      <w:r>
        <w:rPr>
          <w:sz w:val="22"/>
          <w:szCs w:val="22"/>
        </w:rPr>
        <w:t xml:space="preserve"> an FGD system </w:t>
      </w:r>
      <w:r w:rsidR="00793D5F">
        <w:rPr>
          <w:sz w:val="22"/>
          <w:szCs w:val="22"/>
        </w:rPr>
        <w:t xml:space="preserve">would not be </w:t>
      </w:r>
      <w:r w:rsidR="00DD30DA">
        <w:rPr>
          <w:sz w:val="22"/>
          <w:szCs w:val="22"/>
        </w:rPr>
        <w:t xml:space="preserve">technically or </w:t>
      </w:r>
      <w:r w:rsidR="00793D5F">
        <w:rPr>
          <w:sz w:val="22"/>
          <w:szCs w:val="22"/>
        </w:rPr>
        <w:t>economically feasible for the amount of SO</w:t>
      </w:r>
      <w:r w:rsidR="00793D5F" w:rsidRPr="00793D5F">
        <w:rPr>
          <w:sz w:val="22"/>
          <w:szCs w:val="22"/>
          <w:vertAlign w:val="subscript"/>
        </w:rPr>
        <w:t>2</w:t>
      </w:r>
      <w:r w:rsidR="00793D5F">
        <w:rPr>
          <w:sz w:val="22"/>
          <w:szCs w:val="22"/>
        </w:rPr>
        <w:t xml:space="preserve"> and SAM being emitted from the combined cycle unit.</w:t>
      </w:r>
      <w:r w:rsidR="004A379D">
        <w:rPr>
          <w:sz w:val="22"/>
          <w:szCs w:val="22"/>
        </w:rPr>
        <w:t xml:space="preserve">  Therefore, clean fuels </w:t>
      </w:r>
      <w:r w:rsidR="004025A0">
        <w:rPr>
          <w:sz w:val="22"/>
          <w:szCs w:val="22"/>
        </w:rPr>
        <w:t>have</w:t>
      </w:r>
      <w:r w:rsidR="004A379D">
        <w:rPr>
          <w:sz w:val="22"/>
          <w:szCs w:val="22"/>
        </w:rPr>
        <w:t xml:space="preserve"> been ranked as the top control method.</w:t>
      </w:r>
    </w:p>
    <w:p w:rsidR="004A379D" w:rsidRDefault="004A379D" w:rsidP="004A379D">
      <w:pPr>
        <w:widowControl w:val="0"/>
        <w:spacing w:before="120" w:after="120"/>
        <w:rPr>
          <w:sz w:val="22"/>
          <w:szCs w:val="22"/>
          <w:u w:val="single"/>
        </w:rPr>
      </w:pPr>
      <w:r w:rsidRPr="00297927">
        <w:rPr>
          <w:sz w:val="22"/>
          <w:szCs w:val="22"/>
          <w:u w:val="single"/>
        </w:rPr>
        <w:t>Evaluation of Economic, Environmental, and Energy Impacts of Feasible Technologies</w:t>
      </w:r>
    </w:p>
    <w:p w:rsidR="004A379D" w:rsidRPr="00734A06" w:rsidRDefault="00734A06" w:rsidP="00734A06">
      <w:pPr>
        <w:widowControl w:val="0"/>
        <w:spacing w:after="120"/>
        <w:rPr>
          <w:sz w:val="22"/>
          <w:szCs w:val="22"/>
        </w:rPr>
      </w:pPr>
      <w:r>
        <w:rPr>
          <w:sz w:val="22"/>
          <w:szCs w:val="22"/>
        </w:rPr>
        <w:t>The applicant has not identified any</w:t>
      </w:r>
      <w:r w:rsidRPr="00734A06">
        <w:rPr>
          <w:sz w:val="22"/>
          <w:szCs w:val="22"/>
        </w:rPr>
        <w:t xml:space="preserve"> potential energy, environmental, or economic impacts that would preclude the use of natural</w:t>
      </w:r>
      <w:r>
        <w:rPr>
          <w:sz w:val="22"/>
          <w:szCs w:val="22"/>
        </w:rPr>
        <w:t xml:space="preserve"> </w:t>
      </w:r>
      <w:r w:rsidRPr="00734A06">
        <w:rPr>
          <w:sz w:val="22"/>
          <w:szCs w:val="22"/>
        </w:rPr>
        <w:t>gas.</w:t>
      </w:r>
    </w:p>
    <w:p w:rsidR="002937DA" w:rsidRDefault="002937DA" w:rsidP="002937DA">
      <w:pPr>
        <w:widowControl w:val="0"/>
        <w:spacing w:after="120"/>
        <w:rPr>
          <w:sz w:val="22"/>
          <w:szCs w:val="22"/>
          <w:u w:val="single"/>
        </w:rPr>
      </w:pPr>
      <w:r w:rsidRPr="006C19BE">
        <w:rPr>
          <w:sz w:val="22"/>
          <w:szCs w:val="22"/>
          <w:u w:val="single"/>
        </w:rPr>
        <w:t>Selection of BACT and Rationale</w:t>
      </w:r>
    </w:p>
    <w:p w:rsidR="00DD30DA" w:rsidRDefault="00687326" w:rsidP="00687326">
      <w:pPr>
        <w:widowControl w:val="0"/>
        <w:spacing w:after="120"/>
        <w:rPr>
          <w:sz w:val="22"/>
          <w:szCs w:val="22"/>
        </w:rPr>
      </w:pPr>
      <w:r w:rsidRPr="00687326">
        <w:rPr>
          <w:sz w:val="22"/>
          <w:szCs w:val="22"/>
        </w:rPr>
        <w:t>The sulfur content for pipeline natural gas is established by Federal Energy</w:t>
      </w:r>
      <w:r>
        <w:rPr>
          <w:sz w:val="22"/>
          <w:szCs w:val="22"/>
        </w:rPr>
        <w:t xml:space="preserve"> </w:t>
      </w:r>
      <w:r w:rsidRPr="00687326">
        <w:rPr>
          <w:sz w:val="22"/>
          <w:szCs w:val="22"/>
        </w:rPr>
        <w:t xml:space="preserve">Regulatory Commission (FERC) through the approval of tariffs. </w:t>
      </w:r>
      <w:r w:rsidR="00634DC3">
        <w:rPr>
          <w:sz w:val="22"/>
          <w:szCs w:val="22"/>
        </w:rPr>
        <w:t xml:space="preserve"> </w:t>
      </w:r>
      <w:r w:rsidRPr="00687326">
        <w:rPr>
          <w:sz w:val="22"/>
          <w:szCs w:val="22"/>
        </w:rPr>
        <w:t>The maximum sulfur content tariff for FGT</w:t>
      </w:r>
      <w:r>
        <w:rPr>
          <w:sz w:val="22"/>
          <w:szCs w:val="22"/>
        </w:rPr>
        <w:t xml:space="preserve"> </w:t>
      </w:r>
      <w:r w:rsidRPr="00687326">
        <w:rPr>
          <w:sz w:val="22"/>
          <w:szCs w:val="22"/>
        </w:rPr>
        <w:t>is 10 grains sulfur per 100 scf (FGT FERC NGA Gas Tariff, Fifth Revised Volume No. 1, General Terms</w:t>
      </w:r>
      <w:r>
        <w:rPr>
          <w:sz w:val="22"/>
          <w:szCs w:val="22"/>
        </w:rPr>
        <w:t xml:space="preserve"> </w:t>
      </w:r>
      <w:r w:rsidRPr="00687326">
        <w:rPr>
          <w:sz w:val="22"/>
          <w:szCs w:val="22"/>
        </w:rPr>
        <w:t xml:space="preserve">and Conditions Section 2 Quality, August 2015). </w:t>
      </w:r>
      <w:r w:rsidR="00662938">
        <w:rPr>
          <w:sz w:val="22"/>
          <w:szCs w:val="22"/>
        </w:rPr>
        <w:t xml:space="preserve"> </w:t>
      </w:r>
      <w:r w:rsidRPr="00687326">
        <w:rPr>
          <w:sz w:val="22"/>
          <w:szCs w:val="22"/>
        </w:rPr>
        <w:t xml:space="preserve">However, the sulfur concentrations reported by FGT and individual plant samples </w:t>
      </w:r>
      <w:r w:rsidR="00662938">
        <w:rPr>
          <w:sz w:val="22"/>
          <w:szCs w:val="22"/>
        </w:rPr>
        <w:t>have consistently been</w:t>
      </w:r>
      <w:r w:rsidRPr="00687326">
        <w:rPr>
          <w:sz w:val="22"/>
          <w:szCs w:val="22"/>
        </w:rPr>
        <w:t xml:space="preserve"> much less than 1 grain per 100 scf</w:t>
      </w:r>
      <w:r>
        <w:rPr>
          <w:sz w:val="22"/>
          <w:szCs w:val="22"/>
        </w:rPr>
        <w:t xml:space="preserve"> </w:t>
      </w:r>
      <w:r w:rsidRPr="00687326">
        <w:rPr>
          <w:sz w:val="22"/>
          <w:szCs w:val="22"/>
        </w:rPr>
        <w:t>of gas.</w:t>
      </w:r>
      <w:r w:rsidR="00C75189" w:rsidRPr="00C75189">
        <w:t xml:space="preserve"> </w:t>
      </w:r>
      <w:r w:rsidR="00C75189">
        <w:t xml:space="preserve"> </w:t>
      </w:r>
      <w:r w:rsidR="00C75189" w:rsidRPr="00C75189">
        <w:rPr>
          <w:sz w:val="22"/>
          <w:szCs w:val="22"/>
        </w:rPr>
        <w:t>The</w:t>
      </w:r>
      <w:r w:rsidR="00C75189">
        <w:rPr>
          <w:sz w:val="22"/>
          <w:szCs w:val="22"/>
        </w:rPr>
        <w:t>refore, the</w:t>
      </w:r>
      <w:r w:rsidR="00C75189" w:rsidRPr="00C75189">
        <w:rPr>
          <w:sz w:val="22"/>
          <w:szCs w:val="22"/>
        </w:rPr>
        <w:t xml:space="preserve"> applicant proposes a BACT work practice emission limit of 2 grains per 100 scf of gas for the CTG/HRSG with duct firing as a conservative basis, even though this sulfur content is not guaranteed by FGT</w:t>
      </w:r>
      <w:r w:rsidR="0044022B">
        <w:rPr>
          <w:sz w:val="22"/>
          <w:szCs w:val="22"/>
        </w:rPr>
        <w:t>.</w:t>
      </w:r>
    </w:p>
    <w:p w:rsidR="0010051F" w:rsidRDefault="002A0A7B" w:rsidP="00687326">
      <w:pPr>
        <w:widowControl w:val="0"/>
        <w:spacing w:after="120"/>
        <w:rPr>
          <w:sz w:val="22"/>
          <w:szCs w:val="22"/>
        </w:rPr>
      </w:pPr>
      <w:r>
        <w:rPr>
          <w:sz w:val="22"/>
          <w:szCs w:val="22"/>
        </w:rPr>
        <w:t xml:space="preserve">The Department accepts the applicant’s proposal and shall establish a limitation of </w:t>
      </w:r>
      <w:r w:rsidRPr="002A0A7B">
        <w:rPr>
          <w:sz w:val="22"/>
          <w:szCs w:val="22"/>
        </w:rPr>
        <w:t>2</w:t>
      </w:r>
      <w:r w:rsidR="007B3B7E">
        <w:rPr>
          <w:sz w:val="22"/>
          <w:szCs w:val="22"/>
        </w:rPr>
        <w:t>.0</w:t>
      </w:r>
      <w:r w:rsidRPr="002A0A7B">
        <w:rPr>
          <w:sz w:val="22"/>
          <w:szCs w:val="22"/>
        </w:rPr>
        <w:t xml:space="preserve"> grains</w:t>
      </w:r>
      <w:r>
        <w:rPr>
          <w:sz w:val="22"/>
          <w:szCs w:val="22"/>
        </w:rPr>
        <w:t xml:space="preserve"> of sulfur</w:t>
      </w:r>
      <w:r w:rsidRPr="002A0A7B">
        <w:rPr>
          <w:sz w:val="22"/>
          <w:szCs w:val="22"/>
        </w:rPr>
        <w:t xml:space="preserve"> per 100 scf of gas</w:t>
      </w:r>
      <w:r w:rsidR="000C2063">
        <w:rPr>
          <w:sz w:val="22"/>
          <w:szCs w:val="22"/>
        </w:rPr>
        <w:t xml:space="preserve">. </w:t>
      </w:r>
      <w:r w:rsidRPr="002A0A7B">
        <w:t xml:space="preserve"> </w:t>
      </w:r>
      <w:r w:rsidRPr="002A0A7B">
        <w:rPr>
          <w:sz w:val="22"/>
          <w:szCs w:val="22"/>
        </w:rPr>
        <w:t>Compliance with the fuel sulfur limit shall be demonstrated by keeping reports obtained from the vendor</w:t>
      </w:r>
      <w:r>
        <w:rPr>
          <w:sz w:val="22"/>
          <w:szCs w:val="22"/>
        </w:rPr>
        <w:t xml:space="preserve">. </w:t>
      </w:r>
      <w:r w:rsidRPr="002A0A7B">
        <w:rPr>
          <w:sz w:val="22"/>
          <w:szCs w:val="22"/>
        </w:rPr>
        <w:t xml:space="preserve"> </w:t>
      </w:r>
      <w:r w:rsidR="00160120">
        <w:rPr>
          <w:sz w:val="22"/>
          <w:szCs w:val="22"/>
        </w:rPr>
        <w:t>As seen in</w:t>
      </w:r>
      <w:r w:rsidR="007C3440">
        <w:rPr>
          <w:sz w:val="22"/>
          <w:szCs w:val="22"/>
        </w:rPr>
        <w:t xml:space="preserve"> </w:t>
      </w:r>
      <w:r w:rsidR="007C3440" w:rsidRPr="007C3440">
        <w:rPr>
          <w:rFonts w:ascii="Times New Roman Bold" w:hAnsi="Times New Roman Bold"/>
          <w:b/>
          <w:sz w:val="22"/>
          <w:szCs w:val="22"/>
        </w:rPr>
        <w:fldChar w:fldCharType="begin"/>
      </w:r>
      <w:r w:rsidR="007C3440" w:rsidRPr="007C3440">
        <w:rPr>
          <w:rFonts w:ascii="Times New Roman Bold" w:hAnsi="Times New Roman Bold"/>
          <w:b/>
          <w:sz w:val="22"/>
          <w:szCs w:val="22"/>
        </w:rPr>
        <w:instrText xml:space="preserve"> REF _Ref513618396 \h </w:instrText>
      </w:r>
      <w:r w:rsidR="007C3440">
        <w:rPr>
          <w:rFonts w:ascii="Times New Roman Bold" w:hAnsi="Times New Roman Bold"/>
          <w:b/>
          <w:sz w:val="22"/>
          <w:szCs w:val="22"/>
        </w:rPr>
        <w:instrText xml:space="preserve"> \* MERGEFORMAT </w:instrText>
      </w:r>
      <w:r w:rsidR="007C3440" w:rsidRPr="007C3440">
        <w:rPr>
          <w:rFonts w:ascii="Times New Roman Bold" w:hAnsi="Times New Roman Bold"/>
          <w:b/>
          <w:sz w:val="22"/>
          <w:szCs w:val="22"/>
        </w:rPr>
      </w:r>
      <w:r w:rsidR="007C3440" w:rsidRPr="007C3440">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10</w:t>
      </w:r>
      <w:r w:rsidR="007C3440" w:rsidRPr="007C3440">
        <w:rPr>
          <w:rFonts w:ascii="Times New Roman Bold" w:hAnsi="Times New Roman Bold"/>
          <w:b/>
          <w:sz w:val="22"/>
          <w:szCs w:val="22"/>
        </w:rPr>
        <w:fldChar w:fldCharType="end"/>
      </w:r>
      <w:r w:rsidR="00753DF3" w:rsidRPr="00753DF3">
        <w:rPr>
          <w:sz w:val="22"/>
          <w:szCs w:val="22"/>
        </w:rPr>
        <w:t>, the designated BACT determination is found to be consistent with recent determinations for combined cycle gas turbine projects</w:t>
      </w:r>
      <w:r w:rsidR="00160120">
        <w:rPr>
          <w:sz w:val="22"/>
          <w:szCs w:val="22"/>
        </w:rPr>
        <w:t xml:space="preserve"> for SO</w:t>
      </w:r>
      <w:r w:rsidR="00160120" w:rsidRPr="003C25A5">
        <w:rPr>
          <w:sz w:val="22"/>
          <w:szCs w:val="22"/>
          <w:vertAlign w:val="subscript"/>
        </w:rPr>
        <w:t>2</w:t>
      </w:r>
      <w:r w:rsidR="00160120">
        <w:rPr>
          <w:sz w:val="22"/>
          <w:szCs w:val="22"/>
        </w:rPr>
        <w:t xml:space="preserve"> and SAM emissions.</w:t>
      </w:r>
    </w:p>
    <w:p w:rsidR="0022635D" w:rsidRDefault="007C3440" w:rsidP="007C3440">
      <w:pPr>
        <w:pStyle w:val="Caption"/>
        <w:spacing w:before="0"/>
        <w:jc w:val="center"/>
      </w:pPr>
      <w:bookmarkStart w:id="43" w:name="_Ref513618396"/>
      <w:r>
        <w:t xml:space="preserve">Table </w:t>
      </w:r>
      <w:fldSimple w:instr=" SEQ Table \* ARABIC ">
        <w:r w:rsidR="007204D0">
          <w:rPr>
            <w:noProof/>
          </w:rPr>
          <w:t>10</w:t>
        </w:r>
      </w:fldSimple>
      <w:bookmarkEnd w:id="43"/>
      <w:r>
        <w:t xml:space="preserve"> - </w:t>
      </w:r>
      <w:r w:rsidR="0022635D" w:rsidRPr="0022635D">
        <w:t>RBLC BACT Determinations for SO</w:t>
      </w:r>
      <w:r w:rsidR="0022635D" w:rsidRPr="00B16F90">
        <w:rPr>
          <w:vertAlign w:val="subscript"/>
        </w:rPr>
        <w:t>2</w:t>
      </w:r>
      <w:r w:rsidR="0022635D" w:rsidRPr="0022635D">
        <w:t>/SAM for Natural Gas-Fired Combustion Turbines.</w:t>
      </w:r>
    </w:p>
    <w:tbl>
      <w:tblPr>
        <w:tblStyle w:val="TableGrid"/>
        <w:tblW w:w="0" w:type="auto"/>
        <w:tblInd w:w="108" w:type="dxa"/>
        <w:tblLook w:val="04A0" w:firstRow="1" w:lastRow="0" w:firstColumn="1" w:lastColumn="0" w:noHBand="0" w:noVBand="1"/>
      </w:tblPr>
      <w:tblGrid>
        <w:gridCol w:w="1114"/>
        <w:gridCol w:w="1200"/>
        <w:gridCol w:w="1290"/>
        <w:gridCol w:w="1496"/>
        <w:gridCol w:w="1768"/>
        <w:gridCol w:w="1105"/>
        <w:gridCol w:w="1825"/>
      </w:tblGrid>
      <w:tr w:rsidR="00187243" w:rsidRPr="00E8321C" w:rsidTr="0064614E">
        <w:trPr>
          <w:tblHeader/>
        </w:trPr>
        <w:tc>
          <w:tcPr>
            <w:tcW w:w="1114" w:type="dxa"/>
            <w:tcBorders>
              <w:top w:val="single" w:sz="12" w:space="0" w:color="auto"/>
              <w:left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Pr>
                <w:b/>
                <w:sz w:val="20"/>
              </w:rPr>
              <w:t>RBLC ID</w:t>
            </w:r>
          </w:p>
        </w:tc>
        <w:tc>
          <w:tcPr>
            <w:tcW w:w="1200" w:type="dxa"/>
            <w:tcBorders>
              <w:top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Date</w:t>
            </w:r>
          </w:p>
        </w:tc>
        <w:tc>
          <w:tcPr>
            <w:tcW w:w="1290" w:type="dxa"/>
            <w:tcBorders>
              <w:top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Source Type</w:t>
            </w:r>
          </w:p>
        </w:tc>
        <w:tc>
          <w:tcPr>
            <w:tcW w:w="1496" w:type="dxa"/>
            <w:tcBorders>
              <w:top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Heat Input or MW Rating</w:t>
            </w:r>
          </w:p>
        </w:tc>
        <w:tc>
          <w:tcPr>
            <w:tcW w:w="1768" w:type="dxa"/>
            <w:tcBorders>
              <w:top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Pollutant Limit</w:t>
            </w:r>
          </w:p>
        </w:tc>
        <w:tc>
          <w:tcPr>
            <w:tcW w:w="1105" w:type="dxa"/>
            <w:tcBorders>
              <w:top w:val="single" w:sz="12" w:space="0" w:color="auto"/>
              <w:bottom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Averaging Period</w:t>
            </w:r>
          </w:p>
        </w:tc>
        <w:tc>
          <w:tcPr>
            <w:tcW w:w="1825" w:type="dxa"/>
            <w:tcBorders>
              <w:top w:val="single" w:sz="12" w:space="0" w:color="auto"/>
              <w:bottom w:val="single" w:sz="12" w:space="0" w:color="auto"/>
              <w:right w:val="single" w:sz="12" w:space="0" w:color="auto"/>
            </w:tcBorders>
            <w:shd w:val="clear" w:color="auto" w:fill="B8CCE4" w:themeFill="accent1" w:themeFillTint="66"/>
            <w:vAlign w:val="center"/>
          </w:tcPr>
          <w:p w:rsidR="00187243" w:rsidRPr="00E8321C" w:rsidRDefault="00187243" w:rsidP="0097267D">
            <w:pPr>
              <w:pStyle w:val="BodyText2"/>
              <w:widowControl w:val="0"/>
              <w:numPr>
                <w:ilvl w:val="0"/>
                <w:numId w:val="0"/>
              </w:numPr>
              <w:spacing w:after="0"/>
              <w:jc w:val="center"/>
              <w:rPr>
                <w:b/>
                <w:sz w:val="20"/>
              </w:rPr>
            </w:pPr>
            <w:r w:rsidRPr="00E8321C">
              <w:rPr>
                <w:b/>
                <w:sz w:val="20"/>
              </w:rPr>
              <w:t>Control Method</w:t>
            </w:r>
          </w:p>
        </w:tc>
      </w:tr>
      <w:tr w:rsidR="0064614E" w:rsidRPr="00E8321C" w:rsidTr="0064614E">
        <w:tc>
          <w:tcPr>
            <w:tcW w:w="1114" w:type="dxa"/>
            <w:tcBorders>
              <w:left w:val="single" w:sz="12" w:space="0" w:color="auto"/>
            </w:tcBorders>
            <w:vAlign w:val="center"/>
          </w:tcPr>
          <w:p w:rsidR="0064614E" w:rsidRPr="00E8321C" w:rsidRDefault="0064614E" w:rsidP="0097267D">
            <w:pPr>
              <w:pStyle w:val="BodyText2"/>
              <w:widowControl w:val="0"/>
              <w:numPr>
                <w:ilvl w:val="0"/>
                <w:numId w:val="0"/>
              </w:numPr>
              <w:spacing w:after="0"/>
              <w:jc w:val="center"/>
              <w:rPr>
                <w:sz w:val="20"/>
              </w:rPr>
            </w:pPr>
            <w:r>
              <w:rPr>
                <w:sz w:val="20"/>
              </w:rPr>
              <w:t>FL-0356</w:t>
            </w:r>
          </w:p>
        </w:tc>
        <w:tc>
          <w:tcPr>
            <w:tcW w:w="1200" w:type="dxa"/>
            <w:vAlign w:val="center"/>
          </w:tcPr>
          <w:p w:rsidR="0064614E" w:rsidRPr="00E8321C" w:rsidRDefault="0064614E" w:rsidP="0097267D">
            <w:pPr>
              <w:pStyle w:val="BodyText2"/>
              <w:widowControl w:val="0"/>
              <w:numPr>
                <w:ilvl w:val="0"/>
                <w:numId w:val="0"/>
              </w:numPr>
              <w:spacing w:after="0"/>
              <w:jc w:val="center"/>
              <w:rPr>
                <w:sz w:val="20"/>
              </w:rPr>
            </w:pPr>
            <w:r>
              <w:rPr>
                <w:sz w:val="20"/>
              </w:rPr>
              <w:t>03/09/2016</w:t>
            </w:r>
          </w:p>
        </w:tc>
        <w:tc>
          <w:tcPr>
            <w:tcW w:w="1290" w:type="dxa"/>
            <w:vAlign w:val="center"/>
          </w:tcPr>
          <w:p w:rsidR="0064614E" w:rsidRPr="00E8321C" w:rsidRDefault="0064614E" w:rsidP="0097267D">
            <w:pPr>
              <w:pStyle w:val="BodyText2"/>
              <w:widowControl w:val="0"/>
              <w:numPr>
                <w:ilvl w:val="0"/>
                <w:numId w:val="0"/>
              </w:numPr>
              <w:spacing w:after="0"/>
              <w:jc w:val="center"/>
              <w:rPr>
                <w:sz w:val="20"/>
              </w:rPr>
            </w:pPr>
            <w:r w:rsidRPr="00E8321C">
              <w:rPr>
                <w:sz w:val="20"/>
              </w:rPr>
              <w:t>3-on-1 CCCT with HRSG</w:t>
            </w:r>
          </w:p>
        </w:tc>
        <w:tc>
          <w:tcPr>
            <w:tcW w:w="1496" w:type="dxa"/>
            <w:vAlign w:val="center"/>
          </w:tcPr>
          <w:p w:rsidR="0064614E" w:rsidRPr="00E8321C" w:rsidRDefault="0064614E" w:rsidP="0097267D">
            <w:pPr>
              <w:pStyle w:val="BodyText2"/>
              <w:widowControl w:val="0"/>
              <w:numPr>
                <w:ilvl w:val="0"/>
                <w:numId w:val="0"/>
              </w:numPr>
              <w:spacing w:after="0"/>
              <w:jc w:val="center"/>
              <w:rPr>
                <w:sz w:val="20"/>
              </w:rPr>
            </w:pPr>
            <w:r w:rsidRPr="00E8321C">
              <w:rPr>
                <w:sz w:val="20"/>
              </w:rPr>
              <w:t>3,096 MMBtu/hour</w:t>
            </w:r>
          </w:p>
        </w:tc>
        <w:tc>
          <w:tcPr>
            <w:tcW w:w="1768" w:type="dxa"/>
            <w:vMerge w:val="restart"/>
            <w:vAlign w:val="center"/>
          </w:tcPr>
          <w:p w:rsidR="0064614E" w:rsidRPr="00E8321C" w:rsidRDefault="0064614E" w:rsidP="0097267D">
            <w:pPr>
              <w:pStyle w:val="BodyText2"/>
              <w:widowControl w:val="0"/>
              <w:numPr>
                <w:ilvl w:val="0"/>
                <w:numId w:val="0"/>
              </w:numPr>
              <w:spacing w:after="0"/>
              <w:jc w:val="center"/>
              <w:rPr>
                <w:sz w:val="20"/>
              </w:rPr>
            </w:pPr>
            <w:r>
              <w:rPr>
                <w:sz w:val="20"/>
              </w:rPr>
              <w:t>2.0 gr S/100 scf</w:t>
            </w:r>
            <w:r w:rsidRPr="00656136">
              <w:rPr>
                <w:sz w:val="20"/>
                <w:vertAlign w:val="superscript"/>
              </w:rPr>
              <w:t xml:space="preserve"> </w:t>
            </w:r>
            <w:r>
              <w:rPr>
                <w:sz w:val="20"/>
                <w:vertAlign w:val="superscript"/>
              </w:rPr>
              <w:t xml:space="preserve"> </w:t>
            </w:r>
            <w:r w:rsidRPr="00656136">
              <w:rPr>
                <w:b/>
                <w:sz w:val="24"/>
                <w:szCs w:val="24"/>
                <w:vertAlign w:val="superscript"/>
              </w:rPr>
              <w:fldChar w:fldCharType="begin"/>
            </w:r>
            <w:r w:rsidRPr="00656136">
              <w:rPr>
                <w:sz w:val="20"/>
                <w:vertAlign w:val="superscript"/>
              </w:rPr>
              <w:instrText xml:space="preserve"> REF _Ref511222238 \r \h </w:instrText>
            </w:r>
            <w:r>
              <w:rPr>
                <w:b/>
                <w:sz w:val="24"/>
                <w:szCs w:val="24"/>
                <w:vertAlign w:val="superscript"/>
              </w:rPr>
              <w:instrText xml:space="preserve"> \* MERGEFORMAT </w:instrText>
            </w:r>
            <w:r w:rsidRPr="00656136">
              <w:rPr>
                <w:b/>
                <w:sz w:val="24"/>
                <w:szCs w:val="24"/>
                <w:vertAlign w:val="superscript"/>
              </w:rPr>
            </w:r>
            <w:r w:rsidRPr="00656136">
              <w:rPr>
                <w:b/>
                <w:sz w:val="24"/>
                <w:szCs w:val="24"/>
                <w:vertAlign w:val="superscript"/>
              </w:rPr>
              <w:fldChar w:fldCharType="separate"/>
            </w:r>
            <w:r w:rsidR="003E3FA4">
              <w:rPr>
                <w:sz w:val="20"/>
                <w:vertAlign w:val="superscript"/>
              </w:rPr>
              <w:t>c</w:t>
            </w:r>
            <w:r w:rsidRPr="00656136">
              <w:rPr>
                <w:b/>
                <w:sz w:val="24"/>
                <w:szCs w:val="24"/>
                <w:vertAlign w:val="superscript"/>
              </w:rPr>
              <w:fldChar w:fldCharType="end"/>
            </w:r>
          </w:p>
        </w:tc>
        <w:tc>
          <w:tcPr>
            <w:tcW w:w="1105" w:type="dxa"/>
            <w:vMerge w:val="restart"/>
            <w:vAlign w:val="center"/>
          </w:tcPr>
          <w:p w:rsidR="0064614E" w:rsidRPr="00E8321C" w:rsidRDefault="0064614E" w:rsidP="0097267D">
            <w:pPr>
              <w:pStyle w:val="BodyText2"/>
              <w:widowControl w:val="0"/>
              <w:numPr>
                <w:ilvl w:val="0"/>
                <w:numId w:val="0"/>
              </w:numPr>
              <w:spacing w:after="0"/>
              <w:jc w:val="center"/>
              <w:rPr>
                <w:sz w:val="20"/>
              </w:rPr>
            </w:pPr>
            <w:r>
              <w:rPr>
                <w:sz w:val="20"/>
              </w:rPr>
              <w:t>--</w:t>
            </w:r>
          </w:p>
        </w:tc>
        <w:tc>
          <w:tcPr>
            <w:tcW w:w="1825" w:type="dxa"/>
            <w:vMerge w:val="restart"/>
            <w:tcBorders>
              <w:right w:val="single" w:sz="12" w:space="0" w:color="auto"/>
            </w:tcBorders>
            <w:vAlign w:val="center"/>
          </w:tcPr>
          <w:p w:rsidR="0064614E" w:rsidRPr="00E8321C" w:rsidRDefault="0064614E" w:rsidP="0097267D">
            <w:pPr>
              <w:pStyle w:val="BodyText2"/>
              <w:widowControl w:val="0"/>
              <w:numPr>
                <w:ilvl w:val="0"/>
                <w:numId w:val="0"/>
              </w:numPr>
              <w:spacing w:after="0"/>
              <w:jc w:val="center"/>
              <w:rPr>
                <w:sz w:val="20"/>
              </w:rPr>
            </w:pPr>
            <w:r>
              <w:rPr>
                <w:sz w:val="20"/>
              </w:rPr>
              <w:t>Low sulfur fuel</w:t>
            </w:r>
          </w:p>
        </w:tc>
      </w:tr>
      <w:tr w:rsidR="0064614E" w:rsidRPr="00E8321C" w:rsidTr="0064614E">
        <w:tc>
          <w:tcPr>
            <w:tcW w:w="1114" w:type="dxa"/>
            <w:tcBorders>
              <w:left w:val="single" w:sz="12" w:space="0" w:color="auto"/>
            </w:tcBorders>
            <w:vAlign w:val="center"/>
          </w:tcPr>
          <w:p w:rsidR="0064614E" w:rsidRPr="00E8321C" w:rsidRDefault="0064614E" w:rsidP="0097267D">
            <w:pPr>
              <w:pStyle w:val="BodyText2"/>
              <w:widowControl w:val="0"/>
              <w:numPr>
                <w:ilvl w:val="0"/>
                <w:numId w:val="0"/>
              </w:numPr>
              <w:spacing w:after="0"/>
              <w:jc w:val="center"/>
              <w:rPr>
                <w:sz w:val="20"/>
              </w:rPr>
            </w:pPr>
            <w:r>
              <w:rPr>
                <w:sz w:val="20"/>
              </w:rPr>
              <w:t>FL-0363</w:t>
            </w:r>
          </w:p>
        </w:tc>
        <w:tc>
          <w:tcPr>
            <w:tcW w:w="1200" w:type="dxa"/>
            <w:vAlign w:val="center"/>
          </w:tcPr>
          <w:p w:rsidR="0064614E" w:rsidRPr="00E8321C" w:rsidRDefault="0064614E" w:rsidP="0097267D">
            <w:pPr>
              <w:pStyle w:val="BodyText2"/>
              <w:widowControl w:val="0"/>
              <w:numPr>
                <w:ilvl w:val="0"/>
                <w:numId w:val="0"/>
              </w:numPr>
              <w:spacing w:after="0"/>
              <w:jc w:val="center"/>
              <w:rPr>
                <w:sz w:val="20"/>
              </w:rPr>
            </w:pPr>
            <w:r>
              <w:rPr>
                <w:sz w:val="20"/>
              </w:rPr>
              <w:t>12/04/2017</w:t>
            </w:r>
          </w:p>
        </w:tc>
        <w:tc>
          <w:tcPr>
            <w:tcW w:w="1290" w:type="dxa"/>
            <w:vAlign w:val="center"/>
          </w:tcPr>
          <w:p w:rsidR="0064614E" w:rsidRPr="00E8321C" w:rsidRDefault="0064614E" w:rsidP="0097267D">
            <w:pPr>
              <w:pStyle w:val="BodyText2"/>
              <w:widowControl w:val="0"/>
              <w:numPr>
                <w:ilvl w:val="0"/>
                <w:numId w:val="0"/>
              </w:numPr>
              <w:spacing w:after="0"/>
              <w:jc w:val="center"/>
              <w:rPr>
                <w:sz w:val="20"/>
              </w:rPr>
            </w:pPr>
            <w:r>
              <w:rPr>
                <w:sz w:val="20"/>
              </w:rPr>
              <w:t>2-on-1 CCCT with HRSG</w:t>
            </w:r>
          </w:p>
        </w:tc>
        <w:tc>
          <w:tcPr>
            <w:tcW w:w="1496" w:type="dxa"/>
            <w:vAlign w:val="center"/>
          </w:tcPr>
          <w:p w:rsidR="0064614E" w:rsidRPr="00E8321C" w:rsidRDefault="0064614E" w:rsidP="0097267D">
            <w:pPr>
              <w:pStyle w:val="BodyText2"/>
              <w:widowControl w:val="0"/>
              <w:numPr>
                <w:ilvl w:val="0"/>
                <w:numId w:val="0"/>
              </w:numPr>
              <w:spacing w:after="0"/>
              <w:jc w:val="center"/>
              <w:rPr>
                <w:sz w:val="20"/>
              </w:rPr>
            </w:pPr>
            <w:r>
              <w:rPr>
                <w:sz w:val="20"/>
              </w:rPr>
              <w:t>1,200 MW</w:t>
            </w:r>
          </w:p>
        </w:tc>
        <w:tc>
          <w:tcPr>
            <w:tcW w:w="1768" w:type="dxa"/>
            <w:vMerge/>
            <w:vAlign w:val="center"/>
          </w:tcPr>
          <w:p w:rsidR="0064614E" w:rsidRPr="00567303" w:rsidRDefault="0064614E" w:rsidP="0097267D">
            <w:pPr>
              <w:pStyle w:val="BodyText2"/>
              <w:widowControl w:val="0"/>
              <w:numPr>
                <w:ilvl w:val="0"/>
                <w:numId w:val="0"/>
              </w:numPr>
              <w:spacing w:after="0"/>
              <w:jc w:val="center"/>
              <w:rPr>
                <w:sz w:val="20"/>
              </w:rPr>
            </w:pPr>
          </w:p>
        </w:tc>
        <w:tc>
          <w:tcPr>
            <w:tcW w:w="1105" w:type="dxa"/>
            <w:vMerge/>
            <w:vAlign w:val="center"/>
          </w:tcPr>
          <w:p w:rsidR="0064614E" w:rsidRDefault="0064614E" w:rsidP="0097267D">
            <w:pPr>
              <w:pStyle w:val="BodyText2"/>
              <w:widowControl w:val="0"/>
              <w:numPr>
                <w:ilvl w:val="0"/>
                <w:numId w:val="0"/>
              </w:numPr>
              <w:spacing w:after="0"/>
              <w:jc w:val="center"/>
              <w:rPr>
                <w:sz w:val="20"/>
              </w:rPr>
            </w:pPr>
          </w:p>
        </w:tc>
        <w:tc>
          <w:tcPr>
            <w:tcW w:w="1825" w:type="dxa"/>
            <w:vMerge/>
            <w:tcBorders>
              <w:right w:val="single" w:sz="12" w:space="0" w:color="auto"/>
            </w:tcBorders>
            <w:vAlign w:val="center"/>
          </w:tcPr>
          <w:p w:rsidR="0064614E" w:rsidRDefault="0064614E" w:rsidP="0097267D">
            <w:pPr>
              <w:pStyle w:val="BodyText2"/>
              <w:widowControl w:val="0"/>
              <w:numPr>
                <w:ilvl w:val="0"/>
                <w:numId w:val="0"/>
              </w:numPr>
              <w:spacing w:after="0"/>
              <w:jc w:val="center"/>
              <w:rPr>
                <w:sz w:val="20"/>
              </w:rPr>
            </w:pPr>
          </w:p>
        </w:tc>
      </w:tr>
      <w:tr w:rsidR="00187243" w:rsidRPr="00E8321C" w:rsidTr="0064614E">
        <w:tc>
          <w:tcPr>
            <w:tcW w:w="1114" w:type="dxa"/>
            <w:tcBorders>
              <w:left w:val="single" w:sz="12" w:space="0" w:color="auto"/>
            </w:tcBorders>
            <w:vAlign w:val="center"/>
          </w:tcPr>
          <w:p w:rsidR="00187243" w:rsidRPr="00E8321C" w:rsidRDefault="00187243" w:rsidP="0097267D">
            <w:pPr>
              <w:pStyle w:val="BodyText2"/>
              <w:widowControl w:val="0"/>
              <w:numPr>
                <w:ilvl w:val="0"/>
                <w:numId w:val="0"/>
              </w:numPr>
              <w:spacing w:after="0"/>
              <w:jc w:val="center"/>
              <w:rPr>
                <w:sz w:val="20"/>
              </w:rPr>
            </w:pPr>
            <w:r>
              <w:rPr>
                <w:sz w:val="20"/>
              </w:rPr>
              <w:t>TX-0788</w:t>
            </w:r>
          </w:p>
        </w:tc>
        <w:tc>
          <w:tcPr>
            <w:tcW w:w="1200" w:type="dxa"/>
            <w:vAlign w:val="center"/>
          </w:tcPr>
          <w:p w:rsidR="00187243" w:rsidRPr="00E8321C" w:rsidRDefault="00187243" w:rsidP="0097267D">
            <w:pPr>
              <w:pStyle w:val="BodyText2"/>
              <w:widowControl w:val="0"/>
              <w:numPr>
                <w:ilvl w:val="0"/>
                <w:numId w:val="0"/>
              </w:numPr>
              <w:spacing w:after="0"/>
              <w:jc w:val="center"/>
              <w:rPr>
                <w:sz w:val="20"/>
              </w:rPr>
            </w:pPr>
            <w:r>
              <w:rPr>
                <w:sz w:val="20"/>
              </w:rPr>
              <w:t>03/24/2016</w:t>
            </w:r>
          </w:p>
        </w:tc>
        <w:tc>
          <w:tcPr>
            <w:tcW w:w="1290" w:type="dxa"/>
            <w:vAlign w:val="center"/>
          </w:tcPr>
          <w:p w:rsidR="00187243" w:rsidRPr="00E8321C" w:rsidRDefault="00187243" w:rsidP="0097267D">
            <w:pPr>
              <w:pStyle w:val="BodyText2"/>
              <w:widowControl w:val="0"/>
              <w:numPr>
                <w:ilvl w:val="0"/>
                <w:numId w:val="0"/>
              </w:numPr>
              <w:spacing w:after="0"/>
              <w:jc w:val="center"/>
              <w:rPr>
                <w:sz w:val="20"/>
              </w:rPr>
            </w:pPr>
            <w:r w:rsidRPr="00E8321C">
              <w:rPr>
                <w:sz w:val="20"/>
              </w:rPr>
              <w:t>2-on-1 CCCT with HRSG</w:t>
            </w:r>
          </w:p>
        </w:tc>
        <w:tc>
          <w:tcPr>
            <w:tcW w:w="1496" w:type="dxa"/>
            <w:vAlign w:val="center"/>
          </w:tcPr>
          <w:p w:rsidR="00187243" w:rsidRPr="00E8321C" w:rsidRDefault="00187243" w:rsidP="0097267D">
            <w:pPr>
              <w:pStyle w:val="BodyText2"/>
              <w:widowControl w:val="0"/>
              <w:numPr>
                <w:ilvl w:val="0"/>
                <w:numId w:val="0"/>
              </w:numPr>
              <w:spacing w:after="0"/>
              <w:jc w:val="center"/>
              <w:rPr>
                <w:sz w:val="20"/>
              </w:rPr>
            </w:pPr>
            <w:r>
              <w:rPr>
                <w:sz w:val="20"/>
              </w:rPr>
              <w:t>220 MW</w:t>
            </w:r>
          </w:p>
        </w:tc>
        <w:tc>
          <w:tcPr>
            <w:tcW w:w="1768" w:type="dxa"/>
            <w:vAlign w:val="center"/>
          </w:tcPr>
          <w:p w:rsidR="00187243" w:rsidRPr="00C2478A" w:rsidRDefault="00187243" w:rsidP="0097267D">
            <w:pPr>
              <w:pStyle w:val="BodyText2"/>
              <w:widowControl w:val="0"/>
              <w:numPr>
                <w:ilvl w:val="0"/>
                <w:numId w:val="0"/>
              </w:numPr>
              <w:spacing w:after="0"/>
              <w:jc w:val="center"/>
              <w:rPr>
                <w:b/>
                <w:sz w:val="20"/>
              </w:rPr>
            </w:pPr>
            <w:r>
              <w:rPr>
                <w:sz w:val="20"/>
              </w:rPr>
              <w:t>1 gr S/100 scf</w:t>
            </w:r>
            <w:r w:rsidR="00604881">
              <w:rPr>
                <w:sz w:val="20"/>
              </w:rPr>
              <w:t xml:space="preserve"> </w:t>
            </w:r>
            <w:r w:rsidRPr="00604881">
              <w:rPr>
                <w:b/>
                <w:szCs w:val="22"/>
                <w:vertAlign w:val="superscript"/>
              </w:rPr>
              <w:t>a</w:t>
            </w:r>
            <w:r w:rsidR="00604881" w:rsidRPr="00604881">
              <w:rPr>
                <w:b/>
                <w:szCs w:val="22"/>
                <w:vertAlign w:val="superscript"/>
              </w:rPr>
              <w:t>,</w:t>
            </w:r>
            <w:r w:rsidR="00604881" w:rsidRPr="00604881">
              <w:rPr>
                <w:b/>
                <w:szCs w:val="22"/>
                <w:vertAlign w:val="superscript"/>
              </w:rPr>
              <w:fldChar w:fldCharType="begin"/>
            </w:r>
            <w:r w:rsidR="00604881" w:rsidRPr="00604881">
              <w:rPr>
                <w:b/>
                <w:szCs w:val="22"/>
                <w:vertAlign w:val="superscript"/>
              </w:rPr>
              <w:instrText xml:space="preserve"> REF _Ref511222238 \r \h  \* MERGEFORMAT </w:instrText>
            </w:r>
            <w:r w:rsidR="00604881" w:rsidRPr="00604881">
              <w:rPr>
                <w:b/>
                <w:szCs w:val="22"/>
                <w:vertAlign w:val="superscript"/>
              </w:rPr>
            </w:r>
            <w:r w:rsidR="00604881" w:rsidRPr="00604881">
              <w:rPr>
                <w:b/>
                <w:szCs w:val="22"/>
                <w:vertAlign w:val="superscript"/>
              </w:rPr>
              <w:fldChar w:fldCharType="separate"/>
            </w:r>
            <w:r w:rsidR="003E3FA4">
              <w:rPr>
                <w:b/>
                <w:szCs w:val="22"/>
                <w:vertAlign w:val="superscript"/>
              </w:rPr>
              <w:t>c</w:t>
            </w:r>
            <w:r w:rsidR="00604881" w:rsidRPr="00604881">
              <w:rPr>
                <w:b/>
                <w:szCs w:val="22"/>
                <w:vertAlign w:val="superscript"/>
              </w:rPr>
              <w:fldChar w:fldCharType="end"/>
            </w:r>
          </w:p>
        </w:tc>
        <w:tc>
          <w:tcPr>
            <w:tcW w:w="1105" w:type="dxa"/>
            <w:vAlign w:val="center"/>
          </w:tcPr>
          <w:p w:rsidR="00187243" w:rsidRPr="00E8321C" w:rsidRDefault="00187243" w:rsidP="0097267D">
            <w:pPr>
              <w:pStyle w:val="BodyText2"/>
              <w:widowControl w:val="0"/>
              <w:numPr>
                <w:ilvl w:val="0"/>
                <w:numId w:val="0"/>
              </w:numPr>
              <w:spacing w:after="0"/>
              <w:jc w:val="center"/>
              <w:rPr>
                <w:sz w:val="20"/>
              </w:rPr>
            </w:pPr>
            <w:r>
              <w:rPr>
                <w:sz w:val="20"/>
              </w:rPr>
              <w:t>Hourly basis</w:t>
            </w:r>
          </w:p>
        </w:tc>
        <w:tc>
          <w:tcPr>
            <w:tcW w:w="1825" w:type="dxa"/>
            <w:tcBorders>
              <w:right w:val="single" w:sz="12" w:space="0" w:color="auto"/>
            </w:tcBorders>
            <w:vAlign w:val="center"/>
          </w:tcPr>
          <w:p w:rsidR="00187243" w:rsidRPr="00E8321C" w:rsidRDefault="00187243" w:rsidP="0097267D">
            <w:pPr>
              <w:pStyle w:val="BodyText2"/>
              <w:widowControl w:val="0"/>
              <w:numPr>
                <w:ilvl w:val="0"/>
                <w:numId w:val="0"/>
              </w:numPr>
              <w:spacing w:after="0"/>
              <w:jc w:val="center"/>
              <w:rPr>
                <w:sz w:val="20"/>
              </w:rPr>
            </w:pPr>
            <w:r>
              <w:rPr>
                <w:sz w:val="20"/>
              </w:rPr>
              <w:t>GCP and low sulfur fuel</w:t>
            </w:r>
          </w:p>
        </w:tc>
      </w:tr>
      <w:tr w:rsidR="00187243" w:rsidRPr="00E8321C" w:rsidTr="0064614E">
        <w:trPr>
          <w:trHeight w:val="395"/>
        </w:trPr>
        <w:tc>
          <w:tcPr>
            <w:tcW w:w="1114" w:type="dxa"/>
            <w:vMerge w:val="restart"/>
            <w:tcBorders>
              <w:left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KY-0106</w:t>
            </w:r>
          </w:p>
        </w:tc>
        <w:tc>
          <w:tcPr>
            <w:tcW w:w="1200" w:type="dxa"/>
            <w:vMerge w:val="restart"/>
            <w:vAlign w:val="center"/>
          </w:tcPr>
          <w:p w:rsidR="00187243" w:rsidRDefault="00187243" w:rsidP="0097267D">
            <w:pPr>
              <w:pStyle w:val="BodyText2"/>
              <w:widowControl w:val="0"/>
              <w:numPr>
                <w:ilvl w:val="0"/>
                <w:numId w:val="0"/>
              </w:numPr>
              <w:spacing w:after="0"/>
              <w:jc w:val="center"/>
              <w:rPr>
                <w:sz w:val="20"/>
              </w:rPr>
            </w:pPr>
            <w:r>
              <w:rPr>
                <w:sz w:val="20"/>
              </w:rPr>
              <w:t>09/30/2016</w:t>
            </w:r>
          </w:p>
        </w:tc>
        <w:tc>
          <w:tcPr>
            <w:tcW w:w="1290" w:type="dxa"/>
            <w:vMerge w:val="restart"/>
            <w:vAlign w:val="center"/>
          </w:tcPr>
          <w:p w:rsidR="00187243" w:rsidRPr="00281E57" w:rsidRDefault="00187243" w:rsidP="0097267D">
            <w:pPr>
              <w:pStyle w:val="BodyText2"/>
              <w:widowControl w:val="0"/>
              <w:numPr>
                <w:ilvl w:val="0"/>
                <w:numId w:val="0"/>
              </w:numPr>
              <w:spacing w:after="0"/>
              <w:jc w:val="center"/>
              <w:rPr>
                <w:sz w:val="20"/>
              </w:rPr>
            </w:pPr>
            <w:r>
              <w:rPr>
                <w:color w:val="000000"/>
                <w:sz w:val="20"/>
              </w:rPr>
              <w:t xml:space="preserve">3-on-1 and </w:t>
            </w:r>
            <w:r>
              <w:rPr>
                <w:color w:val="000000"/>
                <w:sz w:val="20"/>
              </w:rPr>
              <w:br/>
              <w:t>2-on-1 CCCT with HRSG</w:t>
            </w:r>
          </w:p>
        </w:tc>
        <w:tc>
          <w:tcPr>
            <w:tcW w:w="1496" w:type="dxa"/>
            <w:vMerge w:val="restart"/>
            <w:vAlign w:val="center"/>
          </w:tcPr>
          <w:p w:rsidR="00187243" w:rsidRPr="00E8321C" w:rsidRDefault="00187243" w:rsidP="0097267D">
            <w:pPr>
              <w:pStyle w:val="BodyText2"/>
              <w:widowControl w:val="0"/>
              <w:numPr>
                <w:ilvl w:val="0"/>
                <w:numId w:val="0"/>
              </w:numPr>
              <w:spacing w:after="0"/>
              <w:jc w:val="center"/>
              <w:rPr>
                <w:sz w:val="20"/>
              </w:rPr>
            </w:pPr>
            <w:r>
              <w:rPr>
                <w:sz w:val="20"/>
              </w:rPr>
              <w:t>1,700 MW</w:t>
            </w:r>
          </w:p>
        </w:tc>
        <w:tc>
          <w:tcPr>
            <w:tcW w:w="1768" w:type="dxa"/>
            <w:vAlign w:val="center"/>
          </w:tcPr>
          <w:p w:rsidR="00187243" w:rsidRPr="00DA7839" w:rsidRDefault="00187243" w:rsidP="0097267D">
            <w:pPr>
              <w:pStyle w:val="BodyText2"/>
              <w:widowControl w:val="0"/>
              <w:numPr>
                <w:ilvl w:val="0"/>
                <w:numId w:val="0"/>
              </w:numPr>
              <w:spacing w:after="0"/>
              <w:jc w:val="center"/>
              <w:rPr>
                <w:b/>
                <w:sz w:val="20"/>
                <w:vertAlign w:val="superscript"/>
              </w:rPr>
            </w:pPr>
            <w:r>
              <w:rPr>
                <w:sz w:val="20"/>
              </w:rPr>
              <w:t>1.17 lb/h</w:t>
            </w:r>
            <w:r w:rsidR="00604881">
              <w:rPr>
                <w:sz w:val="20"/>
              </w:rPr>
              <w:t>ou</w:t>
            </w:r>
            <w:r>
              <w:rPr>
                <w:sz w:val="20"/>
              </w:rPr>
              <w:t>r</w:t>
            </w:r>
            <w:r w:rsidR="00604881">
              <w:rPr>
                <w:sz w:val="20"/>
              </w:rPr>
              <w:t xml:space="preserve"> </w:t>
            </w:r>
            <w:r w:rsidR="00604881" w:rsidRPr="00604881">
              <w:rPr>
                <w:b/>
                <w:sz w:val="24"/>
                <w:szCs w:val="24"/>
                <w:vertAlign w:val="superscript"/>
              </w:rPr>
              <w:fldChar w:fldCharType="begin"/>
            </w:r>
            <w:r w:rsidR="00604881" w:rsidRPr="00604881">
              <w:rPr>
                <w:b/>
                <w:sz w:val="20"/>
                <w:vertAlign w:val="superscript"/>
              </w:rPr>
              <w:instrText xml:space="preserve"> REF _Ref511222364 \r \h </w:instrText>
            </w:r>
            <w:r w:rsidR="00604881" w:rsidRPr="00604881">
              <w:rPr>
                <w:b/>
                <w:sz w:val="24"/>
                <w:szCs w:val="24"/>
                <w:vertAlign w:val="superscript"/>
              </w:rPr>
              <w:instrText xml:space="preserve"> \* MERGEFORMAT </w:instrText>
            </w:r>
            <w:r w:rsidR="00604881" w:rsidRPr="00604881">
              <w:rPr>
                <w:b/>
                <w:sz w:val="24"/>
                <w:szCs w:val="24"/>
                <w:vertAlign w:val="superscript"/>
              </w:rPr>
            </w:r>
            <w:r w:rsidR="00604881" w:rsidRPr="00604881">
              <w:rPr>
                <w:b/>
                <w:sz w:val="24"/>
                <w:szCs w:val="24"/>
                <w:vertAlign w:val="superscript"/>
              </w:rPr>
              <w:fldChar w:fldCharType="separate"/>
            </w:r>
            <w:r w:rsidR="003E3FA4">
              <w:rPr>
                <w:b/>
                <w:sz w:val="20"/>
                <w:vertAlign w:val="superscript"/>
              </w:rPr>
              <w:t>b</w:t>
            </w:r>
            <w:r w:rsidR="00604881" w:rsidRPr="00604881">
              <w:rPr>
                <w:b/>
                <w:sz w:val="24"/>
                <w:szCs w:val="24"/>
                <w:vertAlign w:val="superscript"/>
              </w:rPr>
              <w:fldChar w:fldCharType="end"/>
            </w:r>
          </w:p>
        </w:tc>
        <w:tc>
          <w:tcPr>
            <w:tcW w:w="1105" w:type="dxa"/>
            <w:vMerge w:val="restart"/>
            <w:vAlign w:val="center"/>
          </w:tcPr>
          <w:p w:rsidR="00187243" w:rsidRDefault="00187243" w:rsidP="0097267D">
            <w:pPr>
              <w:pStyle w:val="BodyText2"/>
              <w:widowControl w:val="0"/>
              <w:numPr>
                <w:ilvl w:val="0"/>
                <w:numId w:val="0"/>
              </w:numPr>
              <w:spacing w:after="0"/>
              <w:jc w:val="center"/>
              <w:rPr>
                <w:sz w:val="20"/>
              </w:rPr>
            </w:pPr>
            <w:r>
              <w:rPr>
                <w:sz w:val="20"/>
              </w:rPr>
              <w:t>1-hour average</w:t>
            </w:r>
          </w:p>
        </w:tc>
        <w:tc>
          <w:tcPr>
            <w:tcW w:w="1825" w:type="dxa"/>
            <w:vMerge w:val="restart"/>
            <w:tcBorders>
              <w:right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Low sulfur fuel (1 gr S/100 scf)</w:t>
            </w:r>
          </w:p>
        </w:tc>
      </w:tr>
      <w:tr w:rsidR="00187243" w:rsidRPr="00E8321C" w:rsidTr="0064614E">
        <w:tc>
          <w:tcPr>
            <w:tcW w:w="1114" w:type="dxa"/>
            <w:vMerge/>
            <w:tcBorders>
              <w:left w:val="single" w:sz="12" w:space="0" w:color="auto"/>
            </w:tcBorders>
            <w:vAlign w:val="center"/>
          </w:tcPr>
          <w:p w:rsidR="00187243" w:rsidRDefault="00187243" w:rsidP="0097267D">
            <w:pPr>
              <w:pStyle w:val="BodyText2"/>
              <w:widowControl w:val="0"/>
              <w:numPr>
                <w:ilvl w:val="0"/>
                <w:numId w:val="0"/>
              </w:numPr>
              <w:spacing w:after="0"/>
              <w:jc w:val="center"/>
              <w:rPr>
                <w:sz w:val="20"/>
              </w:rPr>
            </w:pPr>
          </w:p>
        </w:tc>
        <w:tc>
          <w:tcPr>
            <w:tcW w:w="1200" w:type="dxa"/>
            <w:vMerge/>
            <w:vAlign w:val="center"/>
          </w:tcPr>
          <w:p w:rsidR="00187243" w:rsidRDefault="00187243" w:rsidP="0097267D">
            <w:pPr>
              <w:pStyle w:val="BodyText2"/>
              <w:widowControl w:val="0"/>
              <w:numPr>
                <w:ilvl w:val="0"/>
                <w:numId w:val="0"/>
              </w:numPr>
              <w:spacing w:after="0"/>
              <w:jc w:val="center"/>
              <w:rPr>
                <w:sz w:val="20"/>
              </w:rPr>
            </w:pPr>
          </w:p>
        </w:tc>
        <w:tc>
          <w:tcPr>
            <w:tcW w:w="1290" w:type="dxa"/>
            <w:vMerge/>
            <w:vAlign w:val="center"/>
          </w:tcPr>
          <w:p w:rsidR="00187243" w:rsidRPr="00E8321C" w:rsidRDefault="00187243" w:rsidP="0097267D">
            <w:pPr>
              <w:pStyle w:val="BodyText2"/>
              <w:widowControl w:val="0"/>
              <w:numPr>
                <w:ilvl w:val="0"/>
                <w:numId w:val="0"/>
              </w:numPr>
              <w:spacing w:after="0"/>
              <w:jc w:val="center"/>
              <w:rPr>
                <w:sz w:val="20"/>
              </w:rPr>
            </w:pPr>
          </w:p>
        </w:tc>
        <w:tc>
          <w:tcPr>
            <w:tcW w:w="1496" w:type="dxa"/>
            <w:vMerge/>
            <w:vAlign w:val="center"/>
          </w:tcPr>
          <w:p w:rsidR="00187243" w:rsidRDefault="00187243" w:rsidP="0097267D">
            <w:pPr>
              <w:pStyle w:val="BodyText2"/>
              <w:widowControl w:val="0"/>
              <w:numPr>
                <w:ilvl w:val="0"/>
                <w:numId w:val="0"/>
              </w:numPr>
              <w:spacing w:after="0"/>
              <w:jc w:val="center"/>
              <w:rPr>
                <w:sz w:val="20"/>
              </w:rPr>
            </w:pPr>
          </w:p>
        </w:tc>
        <w:tc>
          <w:tcPr>
            <w:tcW w:w="1768" w:type="dxa"/>
            <w:vAlign w:val="center"/>
          </w:tcPr>
          <w:p w:rsidR="00187243" w:rsidRPr="007C586B" w:rsidRDefault="00187243" w:rsidP="0097267D">
            <w:pPr>
              <w:pStyle w:val="BodyText2"/>
              <w:widowControl w:val="0"/>
              <w:numPr>
                <w:ilvl w:val="0"/>
                <w:numId w:val="0"/>
              </w:numPr>
              <w:spacing w:after="0"/>
              <w:jc w:val="center"/>
              <w:rPr>
                <w:b/>
                <w:sz w:val="20"/>
                <w:vertAlign w:val="superscript"/>
              </w:rPr>
            </w:pPr>
            <w:r>
              <w:rPr>
                <w:sz w:val="20"/>
              </w:rPr>
              <w:t>7.82 lb/h</w:t>
            </w:r>
            <w:r w:rsidR="00604881">
              <w:rPr>
                <w:sz w:val="20"/>
              </w:rPr>
              <w:t>ou</w:t>
            </w:r>
            <w:r>
              <w:rPr>
                <w:sz w:val="20"/>
              </w:rPr>
              <w:t>r</w:t>
            </w:r>
            <w:r w:rsidR="00656136" w:rsidRPr="00604881">
              <w:rPr>
                <w:vertAlign w:val="superscript"/>
              </w:rPr>
              <w:t xml:space="preserve"> </w:t>
            </w:r>
            <w:r w:rsidR="00656136" w:rsidRPr="00604881">
              <w:rPr>
                <w:b/>
                <w:sz w:val="28"/>
                <w:szCs w:val="24"/>
                <w:vertAlign w:val="superscript"/>
              </w:rPr>
              <w:fldChar w:fldCharType="begin"/>
            </w:r>
            <w:r w:rsidR="00656136" w:rsidRPr="00604881">
              <w:rPr>
                <w:b/>
                <w:vertAlign w:val="superscript"/>
              </w:rPr>
              <w:instrText xml:space="preserve"> REF _Ref511222238 \r \h </w:instrText>
            </w:r>
            <w:r w:rsidR="00656136" w:rsidRPr="00604881">
              <w:rPr>
                <w:b/>
                <w:sz w:val="28"/>
                <w:szCs w:val="24"/>
                <w:vertAlign w:val="superscript"/>
              </w:rPr>
              <w:instrText xml:space="preserve"> \* MERGEFORMAT </w:instrText>
            </w:r>
            <w:r w:rsidR="00656136" w:rsidRPr="00604881">
              <w:rPr>
                <w:b/>
                <w:sz w:val="28"/>
                <w:szCs w:val="24"/>
                <w:vertAlign w:val="superscript"/>
              </w:rPr>
            </w:r>
            <w:r w:rsidR="00656136" w:rsidRPr="00604881">
              <w:rPr>
                <w:b/>
                <w:sz w:val="28"/>
                <w:szCs w:val="24"/>
                <w:vertAlign w:val="superscript"/>
              </w:rPr>
              <w:fldChar w:fldCharType="separate"/>
            </w:r>
            <w:r w:rsidR="003E3FA4">
              <w:rPr>
                <w:b/>
                <w:vertAlign w:val="superscript"/>
              </w:rPr>
              <w:t>c</w:t>
            </w:r>
            <w:r w:rsidR="00656136" w:rsidRPr="00604881">
              <w:rPr>
                <w:b/>
                <w:sz w:val="28"/>
                <w:szCs w:val="24"/>
                <w:vertAlign w:val="superscript"/>
              </w:rPr>
              <w:fldChar w:fldCharType="end"/>
            </w:r>
          </w:p>
        </w:tc>
        <w:tc>
          <w:tcPr>
            <w:tcW w:w="1105" w:type="dxa"/>
            <w:vMerge/>
            <w:vAlign w:val="center"/>
          </w:tcPr>
          <w:p w:rsidR="00187243" w:rsidRDefault="00187243" w:rsidP="0097267D">
            <w:pPr>
              <w:pStyle w:val="BodyText2"/>
              <w:widowControl w:val="0"/>
              <w:numPr>
                <w:ilvl w:val="0"/>
                <w:numId w:val="0"/>
              </w:numPr>
              <w:spacing w:after="0"/>
              <w:jc w:val="center"/>
              <w:rPr>
                <w:sz w:val="20"/>
              </w:rPr>
            </w:pPr>
          </w:p>
        </w:tc>
        <w:tc>
          <w:tcPr>
            <w:tcW w:w="1825" w:type="dxa"/>
            <w:vMerge/>
            <w:tcBorders>
              <w:right w:val="single" w:sz="12" w:space="0" w:color="auto"/>
            </w:tcBorders>
            <w:vAlign w:val="center"/>
          </w:tcPr>
          <w:p w:rsidR="00187243" w:rsidRDefault="00187243" w:rsidP="0097267D">
            <w:pPr>
              <w:pStyle w:val="BodyText2"/>
              <w:widowControl w:val="0"/>
              <w:numPr>
                <w:ilvl w:val="0"/>
                <w:numId w:val="0"/>
              </w:numPr>
              <w:spacing w:after="0"/>
              <w:jc w:val="center"/>
              <w:rPr>
                <w:sz w:val="20"/>
              </w:rPr>
            </w:pPr>
          </w:p>
        </w:tc>
      </w:tr>
      <w:tr w:rsidR="00187243" w:rsidRPr="00E8321C" w:rsidTr="0064614E">
        <w:tc>
          <w:tcPr>
            <w:tcW w:w="1114" w:type="dxa"/>
            <w:tcBorders>
              <w:left w:val="single" w:sz="12" w:space="0" w:color="auto"/>
              <w:bottom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TX-0730</w:t>
            </w:r>
          </w:p>
        </w:tc>
        <w:tc>
          <w:tcPr>
            <w:tcW w:w="1200" w:type="dxa"/>
            <w:tcBorders>
              <w:bottom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04/01/2015</w:t>
            </w:r>
          </w:p>
        </w:tc>
        <w:tc>
          <w:tcPr>
            <w:tcW w:w="1290" w:type="dxa"/>
            <w:tcBorders>
              <w:bottom w:val="single" w:sz="12" w:space="0" w:color="auto"/>
            </w:tcBorders>
            <w:vAlign w:val="center"/>
          </w:tcPr>
          <w:p w:rsidR="00187243" w:rsidRPr="00E8321C" w:rsidRDefault="00187243" w:rsidP="0097267D">
            <w:pPr>
              <w:pStyle w:val="BodyText2"/>
              <w:widowControl w:val="0"/>
              <w:numPr>
                <w:ilvl w:val="0"/>
                <w:numId w:val="0"/>
              </w:numPr>
              <w:spacing w:after="0"/>
              <w:jc w:val="center"/>
              <w:rPr>
                <w:sz w:val="20"/>
              </w:rPr>
            </w:pPr>
            <w:r w:rsidRPr="00E8321C">
              <w:rPr>
                <w:sz w:val="20"/>
              </w:rPr>
              <w:t>2-on-1 CCCT with HRSG</w:t>
            </w:r>
          </w:p>
        </w:tc>
        <w:tc>
          <w:tcPr>
            <w:tcW w:w="1496" w:type="dxa"/>
            <w:tcBorders>
              <w:bottom w:val="single" w:sz="12" w:space="0" w:color="auto"/>
            </w:tcBorders>
            <w:vAlign w:val="center"/>
          </w:tcPr>
          <w:p w:rsidR="00187243" w:rsidRPr="00E8321C" w:rsidRDefault="00187243" w:rsidP="0097267D">
            <w:pPr>
              <w:pStyle w:val="BodyText2"/>
              <w:widowControl w:val="0"/>
              <w:numPr>
                <w:ilvl w:val="0"/>
                <w:numId w:val="0"/>
              </w:numPr>
              <w:spacing w:after="0"/>
              <w:jc w:val="center"/>
              <w:rPr>
                <w:sz w:val="20"/>
              </w:rPr>
            </w:pPr>
            <w:r w:rsidRPr="00E8321C">
              <w:rPr>
                <w:sz w:val="20"/>
              </w:rPr>
              <w:t>1,100 MW</w:t>
            </w:r>
          </w:p>
        </w:tc>
        <w:tc>
          <w:tcPr>
            <w:tcW w:w="1768" w:type="dxa"/>
            <w:tcBorders>
              <w:bottom w:val="single" w:sz="12" w:space="0" w:color="auto"/>
            </w:tcBorders>
            <w:vAlign w:val="center"/>
          </w:tcPr>
          <w:p w:rsidR="00187243" w:rsidRPr="00EB4A1C" w:rsidRDefault="00187243" w:rsidP="0097267D">
            <w:pPr>
              <w:pStyle w:val="BodyText2"/>
              <w:widowControl w:val="0"/>
              <w:numPr>
                <w:ilvl w:val="0"/>
                <w:numId w:val="0"/>
              </w:numPr>
              <w:spacing w:after="0"/>
              <w:jc w:val="center"/>
              <w:rPr>
                <w:sz w:val="20"/>
                <w:vertAlign w:val="superscript"/>
              </w:rPr>
            </w:pPr>
            <w:r>
              <w:rPr>
                <w:sz w:val="20"/>
              </w:rPr>
              <w:t>2</w:t>
            </w:r>
            <w:r w:rsidR="000223F6">
              <w:rPr>
                <w:sz w:val="20"/>
              </w:rPr>
              <w:t>.0</w:t>
            </w:r>
            <w:r>
              <w:rPr>
                <w:sz w:val="20"/>
              </w:rPr>
              <w:t xml:space="preserve"> gr S/100 scf</w:t>
            </w:r>
            <w:r w:rsidR="00604881">
              <w:rPr>
                <w:sz w:val="20"/>
              </w:rPr>
              <w:t xml:space="preserve"> </w:t>
            </w:r>
            <w:r w:rsidR="00604881" w:rsidRPr="00604881">
              <w:rPr>
                <w:b/>
                <w:sz w:val="24"/>
                <w:szCs w:val="24"/>
                <w:vertAlign w:val="superscript"/>
              </w:rPr>
              <w:fldChar w:fldCharType="begin"/>
            </w:r>
            <w:r w:rsidR="00604881" w:rsidRPr="00604881">
              <w:rPr>
                <w:b/>
                <w:sz w:val="20"/>
                <w:vertAlign w:val="superscript"/>
              </w:rPr>
              <w:instrText xml:space="preserve"> REF _Ref511222364 \r \h </w:instrText>
            </w:r>
            <w:r w:rsidR="00604881" w:rsidRPr="00604881">
              <w:rPr>
                <w:b/>
                <w:sz w:val="24"/>
                <w:szCs w:val="24"/>
                <w:vertAlign w:val="superscript"/>
              </w:rPr>
              <w:instrText xml:space="preserve"> \* MERGEFORMAT </w:instrText>
            </w:r>
            <w:r w:rsidR="00604881" w:rsidRPr="00604881">
              <w:rPr>
                <w:b/>
                <w:sz w:val="24"/>
                <w:szCs w:val="24"/>
                <w:vertAlign w:val="superscript"/>
              </w:rPr>
            </w:r>
            <w:r w:rsidR="00604881" w:rsidRPr="00604881">
              <w:rPr>
                <w:b/>
                <w:sz w:val="24"/>
                <w:szCs w:val="24"/>
                <w:vertAlign w:val="superscript"/>
              </w:rPr>
              <w:fldChar w:fldCharType="separate"/>
            </w:r>
            <w:r w:rsidR="003E3FA4">
              <w:rPr>
                <w:b/>
                <w:sz w:val="20"/>
                <w:vertAlign w:val="superscript"/>
              </w:rPr>
              <w:t>b</w:t>
            </w:r>
            <w:r w:rsidR="00604881" w:rsidRPr="00604881">
              <w:rPr>
                <w:b/>
                <w:sz w:val="24"/>
                <w:szCs w:val="24"/>
                <w:vertAlign w:val="superscript"/>
              </w:rPr>
              <w:fldChar w:fldCharType="end"/>
            </w:r>
            <w:r w:rsidRPr="00604881">
              <w:rPr>
                <w:b/>
                <w:sz w:val="24"/>
                <w:szCs w:val="24"/>
                <w:vertAlign w:val="superscript"/>
              </w:rPr>
              <w:t>,</w:t>
            </w:r>
            <w:r w:rsidR="00656136" w:rsidRPr="00604881">
              <w:rPr>
                <w:b/>
                <w:sz w:val="24"/>
                <w:szCs w:val="24"/>
                <w:vertAlign w:val="superscript"/>
              </w:rPr>
              <w:fldChar w:fldCharType="begin"/>
            </w:r>
            <w:r w:rsidR="00656136" w:rsidRPr="00604881">
              <w:rPr>
                <w:b/>
                <w:sz w:val="20"/>
                <w:vertAlign w:val="superscript"/>
              </w:rPr>
              <w:instrText xml:space="preserve"> REF _Ref511222238 \r \h </w:instrText>
            </w:r>
            <w:r w:rsidR="00656136" w:rsidRPr="00604881">
              <w:rPr>
                <w:b/>
                <w:sz w:val="24"/>
                <w:szCs w:val="24"/>
                <w:vertAlign w:val="superscript"/>
              </w:rPr>
              <w:instrText xml:space="preserve"> \* MERGEFORMAT </w:instrText>
            </w:r>
            <w:r w:rsidR="00656136" w:rsidRPr="00604881">
              <w:rPr>
                <w:b/>
                <w:sz w:val="24"/>
                <w:szCs w:val="24"/>
                <w:vertAlign w:val="superscript"/>
              </w:rPr>
            </w:r>
            <w:r w:rsidR="00656136" w:rsidRPr="00604881">
              <w:rPr>
                <w:b/>
                <w:sz w:val="24"/>
                <w:szCs w:val="24"/>
                <w:vertAlign w:val="superscript"/>
              </w:rPr>
              <w:fldChar w:fldCharType="separate"/>
            </w:r>
            <w:r w:rsidR="003E3FA4">
              <w:rPr>
                <w:b/>
                <w:sz w:val="20"/>
                <w:vertAlign w:val="superscript"/>
              </w:rPr>
              <w:t>c</w:t>
            </w:r>
            <w:r w:rsidR="00656136" w:rsidRPr="00604881">
              <w:rPr>
                <w:b/>
                <w:sz w:val="24"/>
                <w:szCs w:val="24"/>
                <w:vertAlign w:val="superscript"/>
              </w:rPr>
              <w:fldChar w:fldCharType="end"/>
            </w:r>
            <w:r w:rsidRPr="00604881">
              <w:rPr>
                <w:b/>
                <w:sz w:val="24"/>
                <w:szCs w:val="24"/>
                <w:vertAlign w:val="superscript"/>
              </w:rPr>
              <w:t>,</w:t>
            </w:r>
            <w:r w:rsidR="00604881" w:rsidRPr="00604881">
              <w:rPr>
                <w:b/>
                <w:szCs w:val="24"/>
                <w:vertAlign w:val="superscript"/>
              </w:rPr>
              <w:fldChar w:fldCharType="begin"/>
            </w:r>
            <w:r w:rsidR="00604881" w:rsidRPr="00604881">
              <w:rPr>
                <w:b/>
                <w:szCs w:val="24"/>
                <w:vertAlign w:val="superscript"/>
              </w:rPr>
              <w:instrText xml:space="preserve"> REF _Ref511222421 \r \h  \* MERGEFORMAT </w:instrText>
            </w:r>
            <w:r w:rsidR="00604881" w:rsidRPr="00604881">
              <w:rPr>
                <w:b/>
                <w:szCs w:val="24"/>
                <w:vertAlign w:val="superscript"/>
              </w:rPr>
            </w:r>
            <w:r w:rsidR="00604881" w:rsidRPr="00604881">
              <w:rPr>
                <w:b/>
                <w:szCs w:val="24"/>
                <w:vertAlign w:val="superscript"/>
              </w:rPr>
              <w:fldChar w:fldCharType="separate"/>
            </w:r>
            <w:r w:rsidR="003E3FA4">
              <w:rPr>
                <w:b/>
                <w:szCs w:val="24"/>
                <w:vertAlign w:val="superscript"/>
              </w:rPr>
              <w:t>d</w:t>
            </w:r>
            <w:r w:rsidR="00604881" w:rsidRPr="00604881">
              <w:rPr>
                <w:b/>
                <w:szCs w:val="24"/>
                <w:vertAlign w:val="superscript"/>
              </w:rPr>
              <w:fldChar w:fldCharType="end"/>
            </w:r>
          </w:p>
        </w:tc>
        <w:tc>
          <w:tcPr>
            <w:tcW w:w="1105" w:type="dxa"/>
            <w:tcBorders>
              <w:bottom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1-hour average</w:t>
            </w:r>
          </w:p>
        </w:tc>
        <w:tc>
          <w:tcPr>
            <w:tcW w:w="1825" w:type="dxa"/>
            <w:tcBorders>
              <w:bottom w:val="single" w:sz="12" w:space="0" w:color="auto"/>
              <w:right w:val="single" w:sz="12" w:space="0" w:color="auto"/>
            </w:tcBorders>
            <w:vAlign w:val="center"/>
          </w:tcPr>
          <w:p w:rsidR="00187243" w:rsidRDefault="00187243" w:rsidP="0097267D">
            <w:pPr>
              <w:pStyle w:val="BodyText2"/>
              <w:widowControl w:val="0"/>
              <w:numPr>
                <w:ilvl w:val="0"/>
                <w:numId w:val="0"/>
              </w:numPr>
              <w:spacing w:after="0"/>
              <w:jc w:val="center"/>
              <w:rPr>
                <w:sz w:val="20"/>
              </w:rPr>
            </w:pPr>
            <w:r>
              <w:rPr>
                <w:sz w:val="20"/>
              </w:rPr>
              <w:t>Efficient combustion, natural gas fuel</w:t>
            </w:r>
          </w:p>
        </w:tc>
      </w:tr>
      <w:tr w:rsidR="00187243" w:rsidRPr="00E8321C" w:rsidTr="006C1F9A">
        <w:trPr>
          <w:trHeight w:val="1050"/>
        </w:trPr>
        <w:tc>
          <w:tcPr>
            <w:tcW w:w="9798" w:type="dxa"/>
            <w:gridSpan w:val="7"/>
            <w:tcBorders>
              <w:top w:val="single" w:sz="12" w:space="0" w:color="auto"/>
              <w:left w:val="single" w:sz="12" w:space="0" w:color="auto"/>
              <w:bottom w:val="single" w:sz="12" w:space="0" w:color="auto"/>
              <w:right w:val="single" w:sz="12" w:space="0" w:color="auto"/>
            </w:tcBorders>
          </w:tcPr>
          <w:p w:rsidR="00187243" w:rsidRDefault="00187243" w:rsidP="00656136">
            <w:pPr>
              <w:pStyle w:val="BodyText2"/>
              <w:widowControl w:val="0"/>
              <w:numPr>
                <w:ilvl w:val="0"/>
                <w:numId w:val="33"/>
              </w:numPr>
              <w:spacing w:after="0"/>
              <w:jc w:val="left"/>
              <w:rPr>
                <w:sz w:val="20"/>
              </w:rPr>
            </w:pPr>
            <w:r>
              <w:rPr>
                <w:sz w:val="20"/>
              </w:rPr>
              <w:t>There is also a limit for natural gas sulfur content of 0.25 grains sulfur per 100 scf, annual average.</w:t>
            </w:r>
          </w:p>
          <w:p w:rsidR="00187243" w:rsidRDefault="00656136" w:rsidP="00656136">
            <w:pPr>
              <w:pStyle w:val="BodyText2"/>
              <w:widowControl w:val="0"/>
              <w:numPr>
                <w:ilvl w:val="0"/>
                <w:numId w:val="33"/>
              </w:numPr>
              <w:spacing w:after="0"/>
              <w:jc w:val="left"/>
              <w:rPr>
                <w:sz w:val="20"/>
              </w:rPr>
            </w:pPr>
            <w:bookmarkStart w:id="44" w:name="_Ref511222364"/>
            <w:r w:rsidRPr="00656136">
              <w:rPr>
                <w:sz w:val="24"/>
                <w:szCs w:val="24"/>
              </w:rPr>
              <w:t>T</w:t>
            </w:r>
            <w:r w:rsidR="00187243">
              <w:rPr>
                <w:sz w:val="20"/>
              </w:rPr>
              <w:t>his limit is for sulfuric acid mist, with duct burner firing.</w:t>
            </w:r>
            <w:bookmarkEnd w:id="44"/>
          </w:p>
          <w:p w:rsidR="00187243" w:rsidRDefault="00187243" w:rsidP="00656136">
            <w:pPr>
              <w:pStyle w:val="BodyText2"/>
              <w:widowControl w:val="0"/>
              <w:numPr>
                <w:ilvl w:val="0"/>
                <w:numId w:val="33"/>
              </w:numPr>
              <w:spacing w:after="0"/>
              <w:jc w:val="left"/>
              <w:rPr>
                <w:sz w:val="20"/>
              </w:rPr>
            </w:pPr>
            <w:bookmarkStart w:id="45" w:name="_Ref511222238"/>
            <w:r w:rsidRPr="007C586B">
              <w:rPr>
                <w:sz w:val="20"/>
              </w:rPr>
              <w:t xml:space="preserve">This limit </w:t>
            </w:r>
            <w:r>
              <w:rPr>
                <w:sz w:val="20"/>
              </w:rPr>
              <w:t>is for sulfur dioxide.</w:t>
            </w:r>
            <w:bookmarkEnd w:id="45"/>
          </w:p>
          <w:p w:rsidR="00187243" w:rsidRPr="00D05056" w:rsidRDefault="00187243" w:rsidP="00656136">
            <w:pPr>
              <w:pStyle w:val="BodyText2"/>
              <w:widowControl w:val="0"/>
              <w:numPr>
                <w:ilvl w:val="0"/>
                <w:numId w:val="33"/>
              </w:numPr>
              <w:spacing w:after="0"/>
              <w:jc w:val="left"/>
              <w:rPr>
                <w:szCs w:val="22"/>
              </w:rPr>
            </w:pPr>
            <w:bookmarkStart w:id="46" w:name="_Ref511222421"/>
            <w:r>
              <w:rPr>
                <w:sz w:val="20"/>
              </w:rPr>
              <w:t>There is also a limit of 0.500 gr S/100 scf of natural gas, annual average.</w:t>
            </w:r>
            <w:bookmarkEnd w:id="46"/>
          </w:p>
        </w:tc>
      </w:tr>
    </w:tbl>
    <w:p w:rsidR="00250D3B" w:rsidRPr="007C3440" w:rsidRDefault="00250D3B" w:rsidP="007C3440">
      <w:pPr>
        <w:pStyle w:val="ListParagraph"/>
        <w:widowControl w:val="0"/>
        <w:numPr>
          <w:ilvl w:val="3"/>
          <w:numId w:val="3"/>
        </w:numPr>
        <w:spacing w:before="120" w:after="120"/>
        <w:ind w:left="720" w:hanging="720"/>
        <w:contextualSpacing w:val="0"/>
        <w:rPr>
          <w:i/>
          <w:caps/>
          <w:sz w:val="22"/>
          <w:szCs w:val="22"/>
          <w:u w:val="single"/>
        </w:rPr>
      </w:pPr>
      <w:r w:rsidRPr="007C3440">
        <w:rPr>
          <w:i/>
          <w:sz w:val="22"/>
          <w:szCs w:val="22"/>
        </w:rPr>
        <w:t>GHG Emissions</w:t>
      </w:r>
    </w:p>
    <w:p w:rsidR="0018688D" w:rsidRPr="0018688D" w:rsidRDefault="0018688D" w:rsidP="0018688D">
      <w:pPr>
        <w:widowControl w:val="0"/>
        <w:spacing w:after="120"/>
        <w:rPr>
          <w:sz w:val="22"/>
          <w:szCs w:val="22"/>
        </w:rPr>
      </w:pPr>
      <w:r w:rsidRPr="0018688D">
        <w:rPr>
          <w:sz w:val="22"/>
          <w:szCs w:val="22"/>
        </w:rPr>
        <w:t xml:space="preserve">Three greenhouse gases are expected to </w:t>
      </w:r>
      <w:r w:rsidR="006A1AF5">
        <w:rPr>
          <w:sz w:val="22"/>
          <w:szCs w:val="22"/>
        </w:rPr>
        <w:t>be emitted from the gas turbine</w:t>
      </w:r>
      <w:r w:rsidRPr="0018688D">
        <w:rPr>
          <w:sz w:val="22"/>
          <w:szCs w:val="22"/>
        </w:rPr>
        <w:t xml:space="preserve"> in this project:  carbon dioxide (CO</w:t>
      </w:r>
      <w:r w:rsidRPr="00424AB3">
        <w:rPr>
          <w:sz w:val="22"/>
          <w:szCs w:val="22"/>
          <w:vertAlign w:val="subscript"/>
        </w:rPr>
        <w:t>2</w:t>
      </w:r>
      <w:r w:rsidRPr="0018688D">
        <w:rPr>
          <w:sz w:val="22"/>
          <w:szCs w:val="22"/>
        </w:rPr>
        <w:t>), methane (CH</w:t>
      </w:r>
      <w:r w:rsidRPr="00092FC7">
        <w:rPr>
          <w:sz w:val="22"/>
          <w:szCs w:val="22"/>
          <w:vertAlign w:val="subscript"/>
        </w:rPr>
        <w:t>4</w:t>
      </w:r>
      <w:r w:rsidRPr="0018688D">
        <w:rPr>
          <w:sz w:val="22"/>
          <w:szCs w:val="22"/>
        </w:rPr>
        <w:t>), and nitrous oxide (N</w:t>
      </w:r>
      <w:r w:rsidRPr="00092FC7">
        <w:rPr>
          <w:sz w:val="22"/>
          <w:szCs w:val="22"/>
          <w:vertAlign w:val="subscript"/>
        </w:rPr>
        <w:t>2</w:t>
      </w:r>
      <w:r w:rsidRPr="0018688D">
        <w:rPr>
          <w:sz w:val="22"/>
          <w:szCs w:val="22"/>
        </w:rPr>
        <w:t>O).</w:t>
      </w:r>
    </w:p>
    <w:p w:rsidR="0018688D" w:rsidRPr="0018688D" w:rsidRDefault="0018688D" w:rsidP="0018688D">
      <w:pPr>
        <w:widowControl w:val="0"/>
        <w:spacing w:after="120"/>
        <w:rPr>
          <w:sz w:val="22"/>
          <w:szCs w:val="22"/>
        </w:rPr>
      </w:pPr>
      <w:r w:rsidRPr="0018688D">
        <w:rPr>
          <w:sz w:val="22"/>
          <w:szCs w:val="22"/>
        </w:rPr>
        <w:t>Carbon dioxide is the primary product of combustion of carbon-based fuels in air.  The exothermic reaction between fuels and molecular oxygen in air results in the breaking of carbon-carbon bonds or carbon-hydrogen bonds in fuels, the release of energy in the form of heat, and the formation of CO</w:t>
      </w:r>
      <w:r w:rsidRPr="00424AB3">
        <w:rPr>
          <w:sz w:val="22"/>
          <w:szCs w:val="22"/>
          <w:vertAlign w:val="subscript"/>
        </w:rPr>
        <w:t>2</w:t>
      </w:r>
      <w:r w:rsidRPr="0018688D">
        <w:rPr>
          <w:sz w:val="22"/>
          <w:szCs w:val="22"/>
        </w:rPr>
        <w:t xml:space="preserve"> and water.  In the case of CH</w:t>
      </w:r>
      <w:r w:rsidRPr="00092FC7">
        <w:rPr>
          <w:sz w:val="22"/>
          <w:szCs w:val="22"/>
          <w:vertAlign w:val="subscript"/>
        </w:rPr>
        <w:t>4</w:t>
      </w:r>
      <w:r w:rsidRPr="0018688D">
        <w:rPr>
          <w:sz w:val="22"/>
          <w:szCs w:val="22"/>
        </w:rPr>
        <w:t>, which is the main component of natural gas, the reaction is summarized as follows:</w:t>
      </w:r>
    </w:p>
    <w:p w:rsidR="00670050" w:rsidRDefault="00670050" w:rsidP="00670050">
      <w:pPr>
        <w:widowControl w:val="0"/>
        <w:spacing w:after="120"/>
        <w:jc w:val="center"/>
        <w:rPr>
          <w:sz w:val="22"/>
          <w:szCs w:val="22"/>
        </w:rPr>
      </w:pPr>
      <m:oMathPara>
        <m:oMath>
          <m:r>
            <w:rPr>
              <w:rFonts w:ascii="Cambria Math" w:hAnsi="Cambria Math"/>
              <w:sz w:val="22"/>
              <w:szCs w:val="22"/>
            </w:rPr>
            <m:t>C</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4</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r>
            <w:rPr>
              <w:rFonts w:ascii="Cambria Math" w:hAnsi="Cambria Math"/>
              <w:sz w:val="22"/>
              <w:szCs w:val="22"/>
            </w:rPr>
            <m:t>→C</m:t>
          </m:r>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r>
            <w:rPr>
              <w:rFonts w:ascii="Cambria Math" w:hAnsi="Cambria Math"/>
              <w:sz w:val="22"/>
              <w:szCs w:val="22"/>
            </w:rPr>
            <m:t>+2</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2</m:t>
              </m:r>
            </m:sub>
          </m:sSub>
          <m:r>
            <w:rPr>
              <w:rFonts w:ascii="Cambria Math" w:hAnsi="Cambria Math"/>
              <w:sz w:val="22"/>
              <w:szCs w:val="22"/>
            </w:rPr>
            <m:t>O</m:t>
          </m:r>
        </m:oMath>
      </m:oMathPara>
    </w:p>
    <w:p w:rsidR="0018688D" w:rsidRPr="0018688D" w:rsidRDefault="0018688D" w:rsidP="0018688D">
      <w:pPr>
        <w:widowControl w:val="0"/>
        <w:spacing w:after="120"/>
        <w:rPr>
          <w:sz w:val="22"/>
          <w:szCs w:val="22"/>
        </w:rPr>
      </w:pPr>
      <w:r w:rsidRPr="0018688D">
        <w:rPr>
          <w:sz w:val="22"/>
          <w:szCs w:val="22"/>
        </w:rPr>
        <w:t>Small amounts of CH</w:t>
      </w:r>
      <w:r w:rsidRPr="009C4A70">
        <w:rPr>
          <w:sz w:val="22"/>
          <w:szCs w:val="22"/>
          <w:vertAlign w:val="subscript"/>
        </w:rPr>
        <w:t>4</w:t>
      </w:r>
      <w:r w:rsidRPr="0018688D">
        <w:rPr>
          <w:sz w:val="22"/>
          <w:szCs w:val="22"/>
        </w:rPr>
        <w:t xml:space="preserve"> are expected in the turbine stacks.  As the primary fuel for the turbines, any methane that remains after combustion represents a lost opportunity to generate electricity.  Methane emissions will be minimized for this reason.  However, very small amounts of CH</w:t>
      </w:r>
      <w:r w:rsidRPr="00EF5851">
        <w:rPr>
          <w:sz w:val="22"/>
          <w:szCs w:val="22"/>
          <w:vertAlign w:val="subscript"/>
        </w:rPr>
        <w:t>4</w:t>
      </w:r>
      <w:r w:rsidRPr="0018688D">
        <w:rPr>
          <w:sz w:val="22"/>
          <w:szCs w:val="22"/>
        </w:rPr>
        <w:t xml:space="preserve"> emissions will likely occur.</w:t>
      </w:r>
    </w:p>
    <w:p w:rsidR="0018688D" w:rsidRPr="0018688D" w:rsidRDefault="0018688D" w:rsidP="0018688D">
      <w:pPr>
        <w:widowControl w:val="0"/>
        <w:spacing w:after="120"/>
        <w:rPr>
          <w:sz w:val="22"/>
          <w:szCs w:val="22"/>
        </w:rPr>
      </w:pPr>
      <w:r w:rsidRPr="0018688D">
        <w:rPr>
          <w:sz w:val="22"/>
          <w:szCs w:val="22"/>
        </w:rPr>
        <w:t>A very small amount of N</w:t>
      </w:r>
      <w:r w:rsidRPr="0080785C">
        <w:rPr>
          <w:sz w:val="22"/>
          <w:szCs w:val="22"/>
          <w:vertAlign w:val="subscript"/>
        </w:rPr>
        <w:t>2</w:t>
      </w:r>
      <w:r w:rsidRPr="0018688D">
        <w:rPr>
          <w:sz w:val="22"/>
          <w:szCs w:val="22"/>
        </w:rPr>
        <w:t>O can be produced as a combustion byproduct.  At the high temperatures associated with combustion, atmospheric nitrogen (N</w:t>
      </w:r>
      <w:r w:rsidRPr="00EF5851">
        <w:rPr>
          <w:sz w:val="22"/>
          <w:szCs w:val="22"/>
          <w:vertAlign w:val="subscript"/>
        </w:rPr>
        <w:t>2</w:t>
      </w:r>
      <w:r w:rsidRPr="0018688D">
        <w:rPr>
          <w:sz w:val="22"/>
          <w:szCs w:val="22"/>
        </w:rPr>
        <w:t>) and O</w:t>
      </w:r>
      <w:r w:rsidRPr="00EF5851">
        <w:rPr>
          <w:sz w:val="22"/>
          <w:szCs w:val="22"/>
          <w:vertAlign w:val="subscript"/>
        </w:rPr>
        <w:t>2</w:t>
      </w:r>
      <w:r w:rsidRPr="0018688D">
        <w:rPr>
          <w:sz w:val="22"/>
          <w:szCs w:val="22"/>
        </w:rPr>
        <w:t xml:space="preserve"> react to form, among other byproducts, N</w:t>
      </w:r>
      <w:r w:rsidRPr="00EF5851">
        <w:rPr>
          <w:sz w:val="22"/>
          <w:szCs w:val="22"/>
          <w:vertAlign w:val="subscript"/>
        </w:rPr>
        <w:t>2</w:t>
      </w:r>
      <w:r w:rsidRPr="0018688D">
        <w:rPr>
          <w:sz w:val="22"/>
          <w:szCs w:val="22"/>
        </w:rPr>
        <w:t>O.</w:t>
      </w:r>
    </w:p>
    <w:p w:rsidR="0018688D" w:rsidRPr="0018688D" w:rsidRDefault="0018688D" w:rsidP="0018688D">
      <w:pPr>
        <w:widowControl w:val="0"/>
        <w:spacing w:after="120"/>
        <w:rPr>
          <w:sz w:val="22"/>
          <w:szCs w:val="22"/>
        </w:rPr>
      </w:pPr>
      <w:r w:rsidRPr="0018688D">
        <w:rPr>
          <w:sz w:val="22"/>
          <w:szCs w:val="22"/>
        </w:rPr>
        <w:t>Greenhouse gases are categorized and compared on an “equivalency” basis according to their “global warming potential” (GWP).  The GWP of a substance is calculated by determining the ratio of the amount of warming due to the emission of a unit mass of the substance, integrated over a chosen period of time, to the amount of warming due to the emission of a unit mass of CO</w:t>
      </w:r>
      <w:r w:rsidRPr="00EF5851">
        <w:rPr>
          <w:sz w:val="22"/>
          <w:szCs w:val="22"/>
          <w:vertAlign w:val="subscript"/>
        </w:rPr>
        <w:t>2</w:t>
      </w:r>
      <w:r w:rsidRPr="0018688D">
        <w:rPr>
          <w:sz w:val="22"/>
          <w:szCs w:val="22"/>
        </w:rPr>
        <w:t>, integrated over the same time period.  The most commonly used period of time for GWP calculations is 100 years.  The US EPA uses GWP values of unity for CO</w:t>
      </w:r>
      <w:r w:rsidRPr="00EF5851">
        <w:rPr>
          <w:sz w:val="22"/>
          <w:szCs w:val="22"/>
          <w:vertAlign w:val="subscript"/>
        </w:rPr>
        <w:t>2</w:t>
      </w:r>
      <w:r w:rsidRPr="0018688D">
        <w:rPr>
          <w:sz w:val="22"/>
          <w:szCs w:val="22"/>
        </w:rPr>
        <w:t>, 25 for CH</w:t>
      </w:r>
      <w:r w:rsidRPr="00EF5851">
        <w:rPr>
          <w:sz w:val="22"/>
          <w:szCs w:val="22"/>
          <w:vertAlign w:val="subscript"/>
        </w:rPr>
        <w:t>4</w:t>
      </w:r>
      <w:r w:rsidRPr="0018688D">
        <w:rPr>
          <w:sz w:val="22"/>
          <w:szCs w:val="22"/>
        </w:rPr>
        <w:t>, and 298 for N</w:t>
      </w:r>
      <w:r w:rsidRPr="00EF5851">
        <w:rPr>
          <w:sz w:val="22"/>
          <w:szCs w:val="22"/>
          <w:vertAlign w:val="subscript"/>
        </w:rPr>
        <w:t>2</w:t>
      </w:r>
      <w:r w:rsidRPr="0018688D">
        <w:rPr>
          <w:sz w:val="22"/>
          <w:szCs w:val="22"/>
        </w:rPr>
        <w:t>O.  Multiplying emissions of each of these three gases by its respective GWP, and summing the result, yields a CO</w:t>
      </w:r>
      <w:r w:rsidRPr="00EF5851">
        <w:rPr>
          <w:sz w:val="22"/>
          <w:szCs w:val="22"/>
          <w:vertAlign w:val="subscript"/>
        </w:rPr>
        <w:t>2</w:t>
      </w:r>
      <w:r w:rsidRPr="0018688D">
        <w:rPr>
          <w:sz w:val="22"/>
          <w:szCs w:val="22"/>
        </w:rPr>
        <w:t>-equivalent (CO</w:t>
      </w:r>
      <w:r w:rsidRPr="00EF5851">
        <w:rPr>
          <w:sz w:val="22"/>
          <w:szCs w:val="22"/>
          <w:vertAlign w:val="subscript"/>
        </w:rPr>
        <w:t>2</w:t>
      </w:r>
      <w:r w:rsidRPr="0018688D">
        <w:rPr>
          <w:sz w:val="22"/>
          <w:szCs w:val="22"/>
        </w:rPr>
        <w:t>e) greenhouse gas emissions estimate.</w:t>
      </w:r>
      <w:r w:rsidR="00392ACA">
        <w:rPr>
          <w:sz w:val="22"/>
          <w:szCs w:val="22"/>
        </w:rPr>
        <w:t xml:space="preserve"> </w:t>
      </w:r>
      <w:r w:rsidR="00392ACA" w:rsidRPr="00392ACA">
        <w:t xml:space="preserve"> </w:t>
      </w:r>
      <w:r w:rsidR="00392ACA" w:rsidRPr="00392ACA">
        <w:rPr>
          <w:sz w:val="22"/>
          <w:szCs w:val="22"/>
        </w:rPr>
        <w:t>The maximum potential emissions of CO</w:t>
      </w:r>
      <w:r w:rsidR="00392ACA" w:rsidRPr="00392ACA">
        <w:rPr>
          <w:sz w:val="22"/>
          <w:szCs w:val="22"/>
          <w:vertAlign w:val="subscript"/>
        </w:rPr>
        <w:t>2</w:t>
      </w:r>
      <w:r w:rsidR="00392ACA" w:rsidRPr="00392ACA">
        <w:rPr>
          <w:sz w:val="22"/>
          <w:szCs w:val="22"/>
        </w:rPr>
        <w:t>e for the CTG/HRSG and duct burner were estimated to about 2 million TPY</w:t>
      </w:r>
      <w:r w:rsidR="00392ACA">
        <w:rPr>
          <w:sz w:val="22"/>
          <w:szCs w:val="22"/>
        </w:rPr>
        <w:t>.</w:t>
      </w:r>
    </w:p>
    <w:p w:rsidR="00250D3B" w:rsidRPr="006C19BE" w:rsidRDefault="00250D3B" w:rsidP="00250D3B">
      <w:pPr>
        <w:widowControl w:val="0"/>
        <w:spacing w:after="120"/>
        <w:rPr>
          <w:sz w:val="22"/>
          <w:szCs w:val="22"/>
          <w:u w:val="single"/>
        </w:rPr>
      </w:pPr>
      <w:r w:rsidRPr="006C19BE">
        <w:rPr>
          <w:sz w:val="22"/>
          <w:szCs w:val="22"/>
          <w:u w:val="single"/>
        </w:rPr>
        <w:t>Identification of Control Technologies</w:t>
      </w:r>
    </w:p>
    <w:p w:rsidR="00B34F7C" w:rsidRPr="00B34F7C" w:rsidRDefault="00B34F7C" w:rsidP="00B34F7C">
      <w:pPr>
        <w:widowControl w:val="0"/>
        <w:spacing w:after="120"/>
        <w:rPr>
          <w:sz w:val="22"/>
          <w:szCs w:val="22"/>
        </w:rPr>
      </w:pPr>
      <w:r w:rsidRPr="00B34F7C">
        <w:rPr>
          <w:i/>
          <w:sz w:val="22"/>
          <w:szCs w:val="22"/>
        </w:rPr>
        <w:t>Clean Fuels:</w:t>
      </w:r>
      <w:r w:rsidRPr="00B34F7C">
        <w:rPr>
          <w:sz w:val="22"/>
          <w:szCs w:val="22"/>
        </w:rPr>
        <w:t xml:space="preserve">  The use of low-emitting fuels is a common strategy for minimizing emissions of GHGs.  The use of natural gas results in CO</w:t>
      </w:r>
      <w:r w:rsidRPr="00B34F7C">
        <w:rPr>
          <w:sz w:val="22"/>
          <w:szCs w:val="22"/>
          <w:vertAlign w:val="subscript"/>
        </w:rPr>
        <w:t>2</w:t>
      </w:r>
      <w:r w:rsidRPr="00B34F7C">
        <w:rPr>
          <w:sz w:val="22"/>
          <w:szCs w:val="22"/>
        </w:rPr>
        <w:t xml:space="preserve"> emissions that are approximately 30% less than emissions from oil and 45% less than emissions from coal, per unit of heat input.  According to the US Energy Information Administration (EIA)</w:t>
      </w:r>
      <w:r w:rsidRPr="00B34F7C">
        <w:rPr>
          <w:sz w:val="22"/>
          <w:szCs w:val="22"/>
          <w:vertAlign w:val="superscript"/>
        </w:rPr>
        <w:footnoteReference w:id="5"/>
      </w:r>
      <w:r w:rsidRPr="00B34F7C">
        <w:rPr>
          <w:sz w:val="22"/>
          <w:szCs w:val="22"/>
        </w:rPr>
        <w:t>, natural gas results in significantly less CO</w:t>
      </w:r>
      <w:r w:rsidRPr="00B34F7C">
        <w:rPr>
          <w:sz w:val="22"/>
          <w:szCs w:val="22"/>
          <w:vertAlign w:val="subscript"/>
        </w:rPr>
        <w:t>2</w:t>
      </w:r>
      <w:r w:rsidRPr="00B34F7C">
        <w:rPr>
          <w:sz w:val="22"/>
          <w:szCs w:val="22"/>
        </w:rPr>
        <w:t xml:space="preserve"> than other fossil fuels (see</w:t>
      </w:r>
      <w:r w:rsidR="004430C1">
        <w:rPr>
          <w:sz w:val="22"/>
          <w:szCs w:val="22"/>
        </w:rPr>
        <w:t xml:space="preserve"> </w:t>
      </w:r>
      <w:r w:rsidR="004430C1" w:rsidRPr="004430C1">
        <w:rPr>
          <w:rFonts w:ascii="Times New Roman Bold" w:hAnsi="Times New Roman Bold"/>
          <w:b/>
          <w:sz w:val="22"/>
          <w:szCs w:val="22"/>
        </w:rPr>
        <w:fldChar w:fldCharType="begin"/>
      </w:r>
      <w:r w:rsidR="004430C1" w:rsidRPr="004430C1">
        <w:rPr>
          <w:rFonts w:ascii="Times New Roman Bold" w:hAnsi="Times New Roman Bold"/>
          <w:b/>
          <w:sz w:val="22"/>
          <w:szCs w:val="22"/>
        </w:rPr>
        <w:instrText xml:space="preserve"> REF _Ref513618785 \h </w:instrText>
      </w:r>
      <w:r w:rsidR="004430C1">
        <w:rPr>
          <w:rFonts w:ascii="Times New Roman Bold" w:hAnsi="Times New Roman Bold"/>
          <w:b/>
          <w:sz w:val="22"/>
          <w:szCs w:val="22"/>
        </w:rPr>
        <w:instrText xml:space="preserve"> \* MERGEFORMAT </w:instrText>
      </w:r>
      <w:r w:rsidR="004430C1" w:rsidRPr="004430C1">
        <w:rPr>
          <w:rFonts w:ascii="Times New Roman Bold" w:hAnsi="Times New Roman Bold"/>
          <w:b/>
          <w:sz w:val="22"/>
          <w:szCs w:val="22"/>
        </w:rPr>
      </w:r>
      <w:r w:rsidR="004430C1" w:rsidRPr="004430C1">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11</w:t>
      </w:r>
      <w:r w:rsidR="004430C1" w:rsidRPr="004430C1">
        <w:rPr>
          <w:rFonts w:ascii="Times New Roman Bold" w:hAnsi="Times New Roman Bold"/>
          <w:b/>
          <w:sz w:val="22"/>
          <w:szCs w:val="22"/>
        </w:rPr>
        <w:fldChar w:fldCharType="end"/>
      </w:r>
      <w:r w:rsidR="004430C1">
        <w:rPr>
          <w:sz w:val="22"/>
          <w:szCs w:val="22"/>
        </w:rPr>
        <w:t>)</w:t>
      </w:r>
      <w:r w:rsidR="00501D1B">
        <w:rPr>
          <w:sz w:val="22"/>
          <w:szCs w:val="22"/>
        </w:rPr>
        <w:t>.</w:t>
      </w:r>
    </w:p>
    <w:p w:rsidR="00B34F7C" w:rsidRPr="004430C1" w:rsidRDefault="004430C1" w:rsidP="004430C1">
      <w:pPr>
        <w:pStyle w:val="Caption"/>
        <w:spacing w:before="0"/>
        <w:jc w:val="center"/>
      </w:pPr>
      <w:bookmarkStart w:id="47" w:name="Tab9"/>
      <w:bookmarkStart w:id="48" w:name="_Ref513618785"/>
      <w:bookmarkEnd w:id="47"/>
      <w:r w:rsidRPr="004430C1">
        <w:t xml:space="preserve">Table </w:t>
      </w:r>
      <w:fldSimple w:instr=" SEQ Table \* ARABIC ">
        <w:r w:rsidR="007204D0">
          <w:rPr>
            <w:noProof/>
          </w:rPr>
          <w:t>11</w:t>
        </w:r>
      </w:fldSimple>
      <w:bookmarkEnd w:id="48"/>
      <w:r w:rsidRPr="004430C1">
        <w:t xml:space="preserve"> - </w:t>
      </w:r>
      <w:r w:rsidR="00B34F7C" w:rsidRPr="004430C1">
        <w:t>CO</w:t>
      </w:r>
      <w:r w:rsidR="00B34F7C" w:rsidRPr="004430C1">
        <w:rPr>
          <w:vertAlign w:val="subscript"/>
        </w:rPr>
        <w:t>2</w:t>
      </w:r>
      <w:r w:rsidR="00B34F7C" w:rsidRPr="004430C1">
        <w:t xml:space="preserve"> emissions for various fossil fuels.</w:t>
      </w:r>
    </w:p>
    <w:tbl>
      <w:tblPr>
        <w:tblStyle w:val="TableGrid"/>
        <w:tblW w:w="0" w:type="auto"/>
        <w:tblInd w:w="2775"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ook w:val="04A0" w:firstRow="1" w:lastRow="0" w:firstColumn="1" w:lastColumn="0" w:noHBand="0" w:noVBand="1"/>
      </w:tblPr>
      <w:tblGrid>
        <w:gridCol w:w="2133"/>
        <w:gridCol w:w="1959"/>
      </w:tblGrid>
      <w:tr w:rsidR="00B34F7C" w:rsidRPr="00B34F7C" w:rsidTr="007E0264">
        <w:trPr>
          <w:trHeight w:val="276"/>
          <w:tblHeader/>
        </w:trPr>
        <w:tc>
          <w:tcPr>
            <w:tcW w:w="2133" w:type="dxa"/>
            <w:tcBorders>
              <w:top w:val="single" w:sz="12" w:space="0" w:color="auto"/>
              <w:left w:val="single" w:sz="12" w:space="0" w:color="auto"/>
              <w:bottom w:val="single" w:sz="12" w:space="0" w:color="auto"/>
              <w:right w:val="single" w:sz="8" w:space="0" w:color="auto"/>
            </w:tcBorders>
            <w:shd w:val="clear" w:color="auto" w:fill="B8CCE4"/>
            <w:vAlign w:val="center"/>
            <w:hideMark/>
          </w:tcPr>
          <w:p w:rsidR="00B34F7C" w:rsidRPr="00B34F7C" w:rsidRDefault="00B34F7C" w:rsidP="00B34F7C">
            <w:pPr>
              <w:widowControl w:val="0"/>
              <w:jc w:val="center"/>
              <w:rPr>
                <w:b/>
              </w:rPr>
            </w:pPr>
            <w:r w:rsidRPr="00B34F7C">
              <w:rPr>
                <w:b/>
              </w:rPr>
              <w:t>Fuel</w:t>
            </w:r>
          </w:p>
        </w:tc>
        <w:tc>
          <w:tcPr>
            <w:tcW w:w="1959" w:type="dxa"/>
            <w:tcBorders>
              <w:top w:val="single" w:sz="12" w:space="0" w:color="auto"/>
              <w:left w:val="single" w:sz="8" w:space="0" w:color="auto"/>
              <w:bottom w:val="single" w:sz="12" w:space="0" w:color="auto"/>
              <w:right w:val="single" w:sz="12" w:space="0" w:color="auto"/>
            </w:tcBorders>
            <w:shd w:val="clear" w:color="auto" w:fill="B8CCE4"/>
            <w:vAlign w:val="center"/>
            <w:hideMark/>
          </w:tcPr>
          <w:p w:rsidR="00B34F7C" w:rsidRPr="00B34F7C" w:rsidRDefault="00B34F7C" w:rsidP="00B34F7C">
            <w:pPr>
              <w:widowControl w:val="0"/>
              <w:jc w:val="center"/>
              <w:rPr>
                <w:b/>
              </w:rPr>
            </w:pPr>
            <w:r w:rsidRPr="00B34F7C">
              <w:rPr>
                <w:b/>
              </w:rPr>
              <w:t>CO</w:t>
            </w:r>
            <w:r w:rsidRPr="00B34F7C">
              <w:rPr>
                <w:b/>
                <w:vertAlign w:val="subscript"/>
              </w:rPr>
              <w:t>2</w:t>
            </w:r>
            <w:r w:rsidRPr="00B34F7C">
              <w:rPr>
                <w:b/>
              </w:rPr>
              <w:t xml:space="preserve"> (lb / MMBtu)</w:t>
            </w:r>
          </w:p>
        </w:tc>
      </w:tr>
      <w:tr w:rsidR="00B34F7C" w:rsidRPr="00B34F7C" w:rsidTr="007E0264">
        <w:trPr>
          <w:trHeight w:val="255"/>
        </w:trPr>
        <w:tc>
          <w:tcPr>
            <w:tcW w:w="2133" w:type="dxa"/>
            <w:tcBorders>
              <w:top w:val="single" w:sz="12"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Anthracite coal</w:t>
            </w:r>
          </w:p>
        </w:tc>
        <w:tc>
          <w:tcPr>
            <w:tcW w:w="1959" w:type="dxa"/>
            <w:tcBorders>
              <w:top w:val="single" w:sz="12"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228.6</w:t>
            </w:r>
          </w:p>
        </w:tc>
      </w:tr>
      <w:tr w:rsidR="00B34F7C" w:rsidRPr="00B34F7C" w:rsidTr="007E0264">
        <w:trPr>
          <w:trHeight w:val="239"/>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Bituminous coal</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205.7</w:t>
            </w:r>
          </w:p>
        </w:tc>
      </w:tr>
      <w:tr w:rsidR="00B34F7C" w:rsidRPr="00B34F7C" w:rsidTr="007E0264">
        <w:trPr>
          <w:trHeight w:val="255"/>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Lignite coal</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215.4</w:t>
            </w:r>
          </w:p>
        </w:tc>
      </w:tr>
      <w:tr w:rsidR="00B34F7C" w:rsidRPr="00B34F7C" w:rsidTr="007E0264">
        <w:trPr>
          <w:trHeight w:val="92"/>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Subbituminous coal</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214.3</w:t>
            </w:r>
          </w:p>
        </w:tc>
      </w:tr>
      <w:tr w:rsidR="00B34F7C" w:rsidRPr="00B34F7C" w:rsidTr="007E0264">
        <w:trPr>
          <w:trHeight w:val="239"/>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Diesel fuel</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161.3</w:t>
            </w:r>
          </w:p>
        </w:tc>
      </w:tr>
      <w:tr w:rsidR="00B34F7C" w:rsidRPr="00B34F7C" w:rsidTr="007E0264">
        <w:trPr>
          <w:trHeight w:val="255"/>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Gasoline</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157.2</w:t>
            </w:r>
          </w:p>
        </w:tc>
      </w:tr>
      <w:tr w:rsidR="00B34F7C" w:rsidRPr="00B34F7C" w:rsidTr="007E0264">
        <w:trPr>
          <w:trHeight w:val="255"/>
        </w:trPr>
        <w:tc>
          <w:tcPr>
            <w:tcW w:w="2133" w:type="dxa"/>
            <w:tcBorders>
              <w:top w:val="single" w:sz="8" w:space="0" w:color="auto"/>
              <w:left w:val="single" w:sz="12" w:space="0" w:color="auto"/>
              <w:bottom w:val="single" w:sz="8" w:space="0" w:color="auto"/>
              <w:right w:val="single" w:sz="8" w:space="0" w:color="auto"/>
            </w:tcBorders>
            <w:vAlign w:val="center"/>
            <w:hideMark/>
          </w:tcPr>
          <w:p w:rsidR="00B34F7C" w:rsidRPr="00B34F7C" w:rsidRDefault="00B34F7C" w:rsidP="00B34F7C">
            <w:pPr>
              <w:widowControl w:val="0"/>
              <w:jc w:val="center"/>
            </w:pPr>
            <w:r w:rsidRPr="00B34F7C">
              <w:t>Propane</w:t>
            </w:r>
          </w:p>
        </w:tc>
        <w:tc>
          <w:tcPr>
            <w:tcW w:w="1959" w:type="dxa"/>
            <w:tcBorders>
              <w:top w:val="single" w:sz="8" w:space="0" w:color="auto"/>
              <w:left w:val="single" w:sz="8" w:space="0" w:color="auto"/>
              <w:bottom w:val="single" w:sz="8" w:space="0" w:color="auto"/>
              <w:right w:val="single" w:sz="12" w:space="0" w:color="auto"/>
            </w:tcBorders>
            <w:vAlign w:val="center"/>
            <w:hideMark/>
          </w:tcPr>
          <w:p w:rsidR="00B34F7C" w:rsidRPr="00B34F7C" w:rsidRDefault="00B34F7C" w:rsidP="00B34F7C">
            <w:pPr>
              <w:widowControl w:val="0"/>
              <w:jc w:val="center"/>
            </w:pPr>
            <w:r w:rsidRPr="00B34F7C">
              <w:t>139.0</w:t>
            </w:r>
          </w:p>
        </w:tc>
      </w:tr>
      <w:tr w:rsidR="00B34F7C" w:rsidRPr="00B34F7C" w:rsidTr="007E0264">
        <w:trPr>
          <w:trHeight w:val="239"/>
        </w:trPr>
        <w:tc>
          <w:tcPr>
            <w:tcW w:w="2133" w:type="dxa"/>
            <w:tcBorders>
              <w:top w:val="single" w:sz="8" w:space="0" w:color="auto"/>
              <w:left w:val="single" w:sz="12" w:space="0" w:color="auto"/>
              <w:bottom w:val="single" w:sz="12" w:space="0" w:color="auto"/>
              <w:right w:val="single" w:sz="8" w:space="0" w:color="auto"/>
            </w:tcBorders>
            <w:vAlign w:val="center"/>
            <w:hideMark/>
          </w:tcPr>
          <w:p w:rsidR="00B34F7C" w:rsidRPr="00B34F7C" w:rsidRDefault="00B34F7C" w:rsidP="00B34F7C">
            <w:pPr>
              <w:widowControl w:val="0"/>
              <w:jc w:val="center"/>
            </w:pPr>
            <w:r w:rsidRPr="00B34F7C">
              <w:t>Natural gas</w:t>
            </w:r>
          </w:p>
        </w:tc>
        <w:tc>
          <w:tcPr>
            <w:tcW w:w="1959" w:type="dxa"/>
            <w:tcBorders>
              <w:top w:val="single" w:sz="8" w:space="0" w:color="auto"/>
              <w:left w:val="single" w:sz="8" w:space="0" w:color="auto"/>
              <w:bottom w:val="single" w:sz="12" w:space="0" w:color="auto"/>
              <w:right w:val="single" w:sz="12" w:space="0" w:color="auto"/>
            </w:tcBorders>
            <w:vAlign w:val="center"/>
            <w:hideMark/>
          </w:tcPr>
          <w:p w:rsidR="00B34F7C" w:rsidRPr="00B34F7C" w:rsidRDefault="00B34F7C" w:rsidP="00B34F7C">
            <w:pPr>
              <w:widowControl w:val="0"/>
              <w:jc w:val="center"/>
            </w:pPr>
            <w:r w:rsidRPr="00B34F7C">
              <w:t>117.0</w:t>
            </w:r>
          </w:p>
        </w:tc>
      </w:tr>
    </w:tbl>
    <w:p w:rsidR="00B34F7C" w:rsidRPr="00B34F7C" w:rsidRDefault="00B34F7C" w:rsidP="00B34F7C">
      <w:pPr>
        <w:widowControl w:val="0"/>
        <w:spacing w:before="120" w:after="120"/>
        <w:rPr>
          <w:sz w:val="22"/>
          <w:szCs w:val="22"/>
        </w:rPr>
      </w:pPr>
      <w:r w:rsidRPr="00B34F7C">
        <w:rPr>
          <w:i/>
          <w:sz w:val="22"/>
          <w:szCs w:val="22"/>
        </w:rPr>
        <w:t>Energy Efficiency:</w:t>
      </w:r>
      <w:r w:rsidRPr="00B34F7C">
        <w:rPr>
          <w:sz w:val="22"/>
          <w:szCs w:val="22"/>
        </w:rPr>
        <w:t xml:space="preserve">  Energy efficiency entails optimizing the amount of electrical output produced per unit of heat input.  For a given unit of electrical output, greater efficiency reduces the amount of fuel used and the amount of CO</w:t>
      </w:r>
      <w:r w:rsidRPr="00B34F7C">
        <w:rPr>
          <w:sz w:val="22"/>
          <w:szCs w:val="22"/>
          <w:vertAlign w:val="subscript"/>
        </w:rPr>
        <w:t>2</w:t>
      </w:r>
      <w:r w:rsidRPr="00B34F7C">
        <w:rPr>
          <w:sz w:val="22"/>
          <w:szCs w:val="22"/>
        </w:rPr>
        <w:t xml:space="preserve"> emitted.  Energy efficiency has been included in essentially all BACT determinations for </w:t>
      </w:r>
      <w:r w:rsidR="00501D1B">
        <w:rPr>
          <w:sz w:val="22"/>
          <w:szCs w:val="22"/>
        </w:rPr>
        <w:t xml:space="preserve">GHGs from combustion turbines. </w:t>
      </w:r>
    </w:p>
    <w:p w:rsidR="00250D3B" w:rsidRDefault="00B34F7C" w:rsidP="00B34F7C">
      <w:pPr>
        <w:widowControl w:val="0"/>
        <w:spacing w:after="120"/>
        <w:rPr>
          <w:sz w:val="22"/>
          <w:szCs w:val="22"/>
        </w:rPr>
      </w:pPr>
      <w:r w:rsidRPr="00B34F7C">
        <w:rPr>
          <w:i/>
          <w:sz w:val="22"/>
          <w:szCs w:val="22"/>
        </w:rPr>
        <w:t>Carbon Capture &amp; Storage (CCS):</w:t>
      </w:r>
      <w:r w:rsidRPr="00B34F7C">
        <w:rPr>
          <w:sz w:val="22"/>
          <w:szCs w:val="22"/>
        </w:rPr>
        <w:t xml:space="preserve">  CCS entails capturing the CO</w:t>
      </w:r>
      <w:r w:rsidRPr="00B34F7C">
        <w:rPr>
          <w:sz w:val="22"/>
          <w:szCs w:val="22"/>
          <w:vertAlign w:val="subscript"/>
        </w:rPr>
        <w:t>2</w:t>
      </w:r>
      <w:r w:rsidRPr="00B34F7C">
        <w:rPr>
          <w:sz w:val="22"/>
          <w:szCs w:val="22"/>
        </w:rPr>
        <w:t xml:space="preserve"> from flue gas, transporting it to an appropriate location for storage, and sequestering it underground.  This CO</w:t>
      </w:r>
      <w:r w:rsidRPr="00B34F7C">
        <w:rPr>
          <w:sz w:val="22"/>
          <w:szCs w:val="22"/>
          <w:vertAlign w:val="subscript"/>
        </w:rPr>
        <w:t>2</w:t>
      </w:r>
      <w:r w:rsidRPr="00B34F7C">
        <w:rPr>
          <w:sz w:val="22"/>
          <w:szCs w:val="22"/>
        </w:rPr>
        <w:t xml:space="preserve"> is usually used for processes such as enhanced oil recovery, in which the CO</w:t>
      </w:r>
      <w:r w:rsidRPr="00B34F7C">
        <w:rPr>
          <w:sz w:val="22"/>
          <w:szCs w:val="22"/>
          <w:vertAlign w:val="subscript"/>
        </w:rPr>
        <w:t>2</w:t>
      </w:r>
      <w:r w:rsidRPr="00B34F7C">
        <w:rPr>
          <w:sz w:val="22"/>
          <w:szCs w:val="22"/>
        </w:rPr>
        <w:t xml:space="preserve"> aids in the production of fossil fuels from underground.  Deep saline formations, which are large, porous rock formations, also present a potential opportunity for underground CO</w:t>
      </w:r>
      <w:r w:rsidRPr="00B34F7C">
        <w:rPr>
          <w:sz w:val="22"/>
          <w:szCs w:val="22"/>
          <w:vertAlign w:val="subscript"/>
        </w:rPr>
        <w:t>2</w:t>
      </w:r>
      <w:r>
        <w:rPr>
          <w:sz w:val="22"/>
          <w:szCs w:val="22"/>
        </w:rPr>
        <w:t xml:space="preserve"> storage.</w:t>
      </w:r>
    </w:p>
    <w:p w:rsidR="00B34F7C" w:rsidRPr="00B34F7C" w:rsidRDefault="00B34F7C" w:rsidP="00B34F7C">
      <w:pPr>
        <w:widowControl w:val="0"/>
        <w:spacing w:before="120" w:after="120"/>
        <w:rPr>
          <w:sz w:val="22"/>
          <w:szCs w:val="22"/>
        </w:rPr>
      </w:pPr>
      <w:r w:rsidRPr="00B34F7C">
        <w:rPr>
          <w:sz w:val="22"/>
          <w:szCs w:val="22"/>
        </w:rPr>
        <w:t>The separation and capture of CO</w:t>
      </w:r>
      <w:r w:rsidRPr="00B34F7C">
        <w:rPr>
          <w:sz w:val="22"/>
          <w:szCs w:val="22"/>
          <w:vertAlign w:val="subscript"/>
        </w:rPr>
        <w:t>2</w:t>
      </w:r>
      <w:r w:rsidRPr="00B34F7C">
        <w:rPr>
          <w:sz w:val="22"/>
          <w:szCs w:val="22"/>
        </w:rPr>
        <w:t xml:space="preserve"> from the effluent stream can be performed using several different technologies, such as absorption, adsorption, low-temperature distillation, gas separation membranes, or mineralization and biomineralization.  The transport of CO</w:t>
      </w:r>
      <w:r w:rsidRPr="00B34F7C">
        <w:rPr>
          <w:sz w:val="22"/>
          <w:szCs w:val="22"/>
          <w:vertAlign w:val="subscript"/>
        </w:rPr>
        <w:t>2</w:t>
      </w:r>
      <w:r w:rsidRPr="00B34F7C">
        <w:rPr>
          <w:sz w:val="22"/>
          <w:szCs w:val="22"/>
        </w:rPr>
        <w:t xml:space="preserve"> from the facility to its ultimate storage site is accomplished via pipeline, </w:t>
      </w:r>
      <w:r w:rsidR="006B4E4F" w:rsidRPr="00B34F7C">
        <w:rPr>
          <w:sz w:val="22"/>
          <w:szCs w:val="22"/>
        </w:rPr>
        <w:t xml:space="preserve">most commonly </w:t>
      </w:r>
      <w:r w:rsidRPr="00B34F7C">
        <w:rPr>
          <w:sz w:val="22"/>
          <w:szCs w:val="22"/>
        </w:rPr>
        <w:t>at a pressure of over 1,000 pounds per square inch.  CO</w:t>
      </w:r>
      <w:r w:rsidRPr="00B34F7C">
        <w:rPr>
          <w:sz w:val="22"/>
          <w:szCs w:val="22"/>
          <w:vertAlign w:val="subscript"/>
        </w:rPr>
        <w:t>2</w:t>
      </w:r>
      <w:r w:rsidRPr="00B34F7C">
        <w:rPr>
          <w:sz w:val="22"/>
          <w:szCs w:val="22"/>
        </w:rPr>
        <w:t xml:space="preserve"> can also be transported in insulated tanks at low temperature via seagoing vessels, rail, or truck.  Potential locations for long-term underground storage of CO</w:t>
      </w:r>
      <w:r w:rsidRPr="00B34F7C">
        <w:rPr>
          <w:sz w:val="22"/>
          <w:szCs w:val="22"/>
          <w:vertAlign w:val="subscript"/>
        </w:rPr>
        <w:t>2</w:t>
      </w:r>
      <w:r w:rsidRPr="00B34F7C">
        <w:rPr>
          <w:sz w:val="22"/>
          <w:szCs w:val="22"/>
        </w:rPr>
        <w:t xml:space="preserve"> include depleted oil and gas reservoirs, un-mineable coal seams, and underground saline formations. </w:t>
      </w:r>
    </w:p>
    <w:p w:rsidR="00B34F7C" w:rsidRPr="00B34F7C" w:rsidRDefault="00B34F7C" w:rsidP="00B34F7C">
      <w:pPr>
        <w:widowControl w:val="0"/>
        <w:spacing w:before="120" w:after="120"/>
        <w:rPr>
          <w:sz w:val="22"/>
          <w:szCs w:val="22"/>
        </w:rPr>
      </w:pPr>
      <w:r w:rsidRPr="00B34F7C">
        <w:rPr>
          <w:i/>
          <w:sz w:val="22"/>
          <w:szCs w:val="22"/>
        </w:rPr>
        <w:t>Oxidation Catalyst:</w:t>
      </w:r>
      <w:r w:rsidRPr="00B34F7C">
        <w:rPr>
          <w:sz w:val="22"/>
          <w:szCs w:val="22"/>
        </w:rPr>
        <w:t xml:space="preserve">  The use of catalytic oxidation technology is primarily used to reduce CO emissions, but it can also be used to reduce emissions of CH</w:t>
      </w:r>
      <w:r w:rsidRPr="00B34F7C">
        <w:rPr>
          <w:sz w:val="22"/>
          <w:szCs w:val="22"/>
          <w:vertAlign w:val="subscript"/>
        </w:rPr>
        <w:t>4</w:t>
      </w:r>
      <w:r w:rsidRPr="00B34F7C">
        <w:rPr>
          <w:sz w:val="22"/>
          <w:szCs w:val="22"/>
        </w:rPr>
        <w:t>.  Catalytic oxidation can convert CH</w:t>
      </w:r>
      <w:r w:rsidRPr="00B34F7C">
        <w:rPr>
          <w:sz w:val="22"/>
          <w:szCs w:val="22"/>
          <w:vertAlign w:val="subscript"/>
        </w:rPr>
        <w:t>4</w:t>
      </w:r>
      <w:r w:rsidRPr="00B34F7C">
        <w:rPr>
          <w:sz w:val="22"/>
          <w:szCs w:val="22"/>
        </w:rPr>
        <w:t>, with a GWP of 25, to CO</w:t>
      </w:r>
      <w:r w:rsidRPr="00B34F7C">
        <w:rPr>
          <w:sz w:val="22"/>
          <w:szCs w:val="22"/>
          <w:vertAlign w:val="subscript"/>
        </w:rPr>
        <w:t>2</w:t>
      </w:r>
      <w:r w:rsidRPr="00B34F7C">
        <w:rPr>
          <w:sz w:val="22"/>
          <w:szCs w:val="22"/>
        </w:rPr>
        <w:t>, with a GWP of one.  This technology would be most attractive to sources with high emissions rates of CH</w:t>
      </w:r>
      <w:r w:rsidRPr="00B34F7C">
        <w:rPr>
          <w:sz w:val="22"/>
          <w:szCs w:val="22"/>
          <w:vertAlign w:val="subscript"/>
        </w:rPr>
        <w:t>4</w:t>
      </w:r>
      <w:r w:rsidRPr="00B34F7C">
        <w:rPr>
          <w:sz w:val="22"/>
          <w:szCs w:val="22"/>
        </w:rPr>
        <w:t>.  Oxidation catalyst would yield a practically imperceptible reduction in GHG emissions, due to the very small amount of CH</w:t>
      </w:r>
      <w:r w:rsidRPr="00B34F7C">
        <w:rPr>
          <w:sz w:val="22"/>
          <w:szCs w:val="22"/>
          <w:vertAlign w:val="subscript"/>
        </w:rPr>
        <w:t>4</w:t>
      </w:r>
      <w:r w:rsidRPr="00B34F7C">
        <w:rPr>
          <w:sz w:val="22"/>
          <w:szCs w:val="22"/>
        </w:rPr>
        <w:t xml:space="preserve"> expected from this project.  Furthermore, </w:t>
      </w:r>
      <w:r w:rsidR="00501D1B">
        <w:rPr>
          <w:sz w:val="22"/>
          <w:szCs w:val="22"/>
        </w:rPr>
        <w:t>the applicant</w:t>
      </w:r>
      <w:r w:rsidRPr="00B34F7C">
        <w:rPr>
          <w:sz w:val="22"/>
          <w:szCs w:val="22"/>
        </w:rPr>
        <w:t xml:space="preserve"> estimates that the additional CO</w:t>
      </w:r>
      <w:r w:rsidRPr="00B34F7C">
        <w:rPr>
          <w:sz w:val="22"/>
          <w:szCs w:val="22"/>
          <w:vertAlign w:val="subscript"/>
        </w:rPr>
        <w:t>2</w:t>
      </w:r>
      <w:r w:rsidRPr="00B34F7C">
        <w:rPr>
          <w:sz w:val="22"/>
          <w:szCs w:val="22"/>
        </w:rPr>
        <w:t xml:space="preserve"> emissions arising from the backpressure that results from the use of oxidation catalyst would negate any reductions in CH</w:t>
      </w:r>
      <w:r w:rsidRPr="00B34F7C">
        <w:rPr>
          <w:sz w:val="22"/>
          <w:szCs w:val="22"/>
          <w:vertAlign w:val="subscript"/>
        </w:rPr>
        <w:t>4</w:t>
      </w:r>
      <w:r w:rsidRPr="00B34F7C">
        <w:rPr>
          <w:sz w:val="22"/>
          <w:szCs w:val="22"/>
        </w:rPr>
        <w:t xml:space="preserve"> emissions, in terms of CO</w:t>
      </w:r>
      <w:r w:rsidRPr="00B34F7C">
        <w:rPr>
          <w:sz w:val="22"/>
          <w:szCs w:val="22"/>
          <w:vertAlign w:val="subscript"/>
        </w:rPr>
        <w:t>2</w:t>
      </w:r>
      <w:r w:rsidRPr="00B34F7C">
        <w:rPr>
          <w:sz w:val="22"/>
          <w:szCs w:val="22"/>
        </w:rPr>
        <w:t>-equivalent GHG emissions.</w:t>
      </w:r>
    </w:p>
    <w:p w:rsidR="004430C1" w:rsidRDefault="00B34F7C" w:rsidP="00B34F7C">
      <w:pPr>
        <w:widowControl w:val="0"/>
        <w:spacing w:after="120"/>
        <w:rPr>
          <w:sz w:val="22"/>
          <w:szCs w:val="22"/>
        </w:rPr>
      </w:pPr>
      <w:r w:rsidRPr="00BE138C">
        <w:rPr>
          <w:i/>
          <w:sz w:val="22"/>
          <w:szCs w:val="22"/>
        </w:rPr>
        <w:t>Hybrid Technologies</w:t>
      </w:r>
      <w:r w:rsidR="00414533" w:rsidRPr="00BE138C">
        <w:rPr>
          <w:i/>
          <w:sz w:val="22"/>
          <w:szCs w:val="22"/>
        </w:rPr>
        <w:t>:</w:t>
      </w:r>
      <w:r w:rsidRPr="00BE138C">
        <w:rPr>
          <w:i/>
          <w:sz w:val="22"/>
          <w:szCs w:val="22"/>
        </w:rPr>
        <w:t xml:space="preserve">  </w:t>
      </w:r>
      <w:r w:rsidRPr="00BE138C">
        <w:rPr>
          <w:sz w:val="22"/>
          <w:szCs w:val="22"/>
        </w:rPr>
        <w:t>Variou</w:t>
      </w:r>
      <w:r w:rsidRPr="00B34F7C">
        <w:rPr>
          <w:sz w:val="22"/>
          <w:szCs w:val="22"/>
        </w:rPr>
        <w:t>s power generating facilities combine natural gas combined cycle (NGCC) units with solar thermal technology, with both the solar thermal heat and the CT exhaust heat feeding a single steam turbine.  The integration of steam derived from solar energy can significantly decrease the GHG emissions from a power plant per unit of electricity produced.  However, to consider such technologies when evaluating BACT for a fossil fuel-fired plant would constitute as a fundamental redefinition of the project</w:t>
      </w:r>
      <w:r w:rsidR="00F70FF5">
        <w:rPr>
          <w:sz w:val="22"/>
          <w:szCs w:val="22"/>
        </w:rPr>
        <w:t>, i.e., source,</w:t>
      </w:r>
      <w:r w:rsidR="00AB4804">
        <w:rPr>
          <w:sz w:val="22"/>
          <w:szCs w:val="22"/>
        </w:rPr>
        <w:t xml:space="preserve"> which is </w:t>
      </w:r>
      <w:r w:rsidR="00F70FF5">
        <w:rPr>
          <w:sz w:val="22"/>
          <w:szCs w:val="22"/>
        </w:rPr>
        <w:t xml:space="preserve">generally </w:t>
      </w:r>
      <w:r w:rsidR="00AB4804">
        <w:rPr>
          <w:sz w:val="22"/>
          <w:szCs w:val="22"/>
        </w:rPr>
        <w:t>not allowed under the PSD program</w:t>
      </w:r>
      <w:r w:rsidR="00F70FF5">
        <w:rPr>
          <w:rStyle w:val="FootnoteReference"/>
          <w:sz w:val="22"/>
          <w:szCs w:val="22"/>
        </w:rPr>
        <w:footnoteReference w:id="6"/>
      </w:r>
      <w:r w:rsidRPr="00B34F7C">
        <w:rPr>
          <w:sz w:val="22"/>
          <w:szCs w:val="22"/>
        </w:rPr>
        <w:t xml:space="preserve">. </w:t>
      </w:r>
    </w:p>
    <w:p w:rsidR="00250D3B" w:rsidRPr="006C19BE" w:rsidRDefault="00250D3B" w:rsidP="00250D3B">
      <w:pPr>
        <w:widowControl w:val="0"/>
        <w:spacing w:after="120"/>
        <w:rPr>
          <w:sz w:val="22"/>
          <w:szCs w:val="22"/>
          <w:u w:val="single"/>
        </w:rPr>
      </w:pPr>
      <w:r w:rsidRPr="006C19BE">
        <w:rPr>
          <w:sz w:val="22"/>
          <w:szCs w:val="22"/>
          <w:u w:val="single"/>
        </w:rPr>
        <w:t>Discussion of Technically Infeasible Control Options and Ranking of Remaining Options</w:t>
      </w:r>
    </w:p>
    <w:p w:rsidR="00250D3B" w:rsidRDefault="00937139" w:rsidP="00250D3B">
      <w:pPr>
        <w:widowControl w:val="0"/>
        <w:spacing w:after="120"/>
        <w:rPr>
          <w:sz w:val="22"/>
          <w:szCs w:val="22"/>
        </w:rPr>
      </w:pPr>
      <w:r w:rsidRPr="00937139">
        <w:rPr>
          <w:sz w:val="22"/>
          <w:szCs w:val="22"/>
        </w:rPr>
        <w:t xml:space="preserve">CCS </w:t>
      </w:r>
      <w:r>
        <w:rPr>
          <w:sz w:val="22"/>
          <w:szCs w:val="22"/>
        </w:rPr>
        <w:t>is</w:t>
      </w:r>
      <w:r w:rsidRPr="00937139">
        <w:rPr>
          <w:sz w:val="22"/>
          <w:szCs w:val="22"/>
        </w:rPr>
        <w:t xml:space="preserve"> </w:t>
      </w:r>
      <w:r w:rsidR="000D378C">
        <w:rPr>
          <w:sz w:val="22"/>
          <w:szCs w:val="22"/>
        </w:rPr>
        <w:t xml:space="preserve">usually </w:t>
      </w:r>
      <w:r w:rsidRPr="00937139">
        <w:rPr>
          <w:sz w:val="22"/>
          <w:szCs w:val="22"/>
        </w:rPr>
        <w:t xml:space="preserve">eliminated as a prospective control method due to </w:t>
      </w:r>
      <w:r w:rsidR="00F70FF5">
        <w:rPr>
          <w:sz w:val="22"/>
          <w:szCs w:val="22"/>
        </w:rPr>
        <w:t xml:space="preserve">it </w:t>
      </w:r>
      <w:r w:rsidRPr="00937139">
        <w:rPr>
          <w:sz w:val="22"/>
          <w:szCs w:val="22"/>
        </w:rPr>
        <w:t xml:space="preserve">not being technically feasible.  </w:t>
      </w:r>
      <w:r w:rsidR="000D378C">
        <w:rPr>
          <w:sz w:val="22"/>
          <w:szCs w:val="22"/>
        </w:rPr>
        <w:t>However,</w:t>
      </w:r>
      <w:r w:rsidRPr="00937139">
        <w:rPr>
          <w:sz w:val="22"/>
          <w:szCs w:val="22"/>
        </w:rPr>
        <w:t xml:space="preserve"> EPA considers CCS as available</w:t>
      </w:r>
      <w:r w:rsidR="000D378C">
        <w:rPr>
          <w:sz w:val="22"/>
          <w:szCs w:val="22"/>
        </w:rPr>
        <w:t xml:space="preserve"> even though</w:t>
      </w:r>
      <w:r w:rsidRPr="00937139">
        <w:rPr>
          <w:sz w:val="22"/>
          <w:szCs w:val="22"/>
        </w:rPr>
        <w:t xml:space="preserve"> it is not commercially available</w:t>
      </w:r>
      <w:r w:rsidR="000D378C">
        <w:rPr>
          <w:sz w:val="22"/>
          <w:szCs w:val="22"/>
        </w:rPr>
        <w:t xml:space="preserve"> on a large scale</w:t>
      </w:r>
      <w:r w:rsidRPr="00937139">
        <w:rPr>
          <w:sz w:val="22"/>
          <w:szCs w:val="22"/>
        </w:rPr>
        <w:t xml:space="preserve">.  </w:t>
      </w:r>
      <w:r w:rsidR="00F70FF5" w:rsidRPr="00F70FF5">
        <w:rPr>
          <w:sz w:val="22"/>
          <w:szCs w:val="22"/>
        </w:rPr>
        <w:t>Nevertheless</w:t>
      </w:r>
      <w:r w:rsidR="000D378C">
        <w:rPr>
          <w:sz w:val="22"/>
          <w:szCs w:val="22"/>
        </w:rPr>
        <w:t xml:space="preserve">, </w:t>
      </w:r>
      <w:r w:rsidRPr="00937139">
        <w:rPr>
          <w:sz w:val="22"/>
          <w:szCs w:val="22"/>
        </w:rPr>
        <w:t>EPA recognizes CCS as an expensive technology, largely because of the costs associated with CO</w:t>
      </w:r>
      <w:r w:rsidRPr="00937139">
        <w:rPr>
          <w:sz w:val="22"/>
          <w:szCs w:val="22"/>
          <w:vertAlign w:val="subscript"/>
        </w:rPr>
        <w:t>2</w:t>
      </w:r>
      <w:r w:rsidRPr="00937139">
        <w:rPr>
          <w:sz w:val="22"/>
          <w:szCs w:val="22"/>
        </w:rPr>
        <w:t xml:space="preserve"> capture and compression as supported by EPA’s recent GHG NSPS for electric utility units.  In the Guidance</w:t>
      </w:r>
      <w:r>
        <w:rPr>
          <w:rStyle w:val="FootnoteReference"/>
          <w:sz w:val="22"/>
          <w:szCs w:val="22"/>
        </w:rPr>
        <w:footnoteReference w:id="7"/>
      </w:r>
      <w:r w:rsidRPr="00937139">
        <w:rPr>
          <w:sz w:val="22"/>
          <w:szCs w:val="22"/>
        </w:rPr>
        <w:t>, EPA states that “even if not eliminated in Step 2 of the BACT analysis, on the basis of the current costs of CCS, CCS would be eliminated from consideration in Step 4 of the BACT analysis, even in some cases where underground storage of the captured CO</w:t>
      </w:r>
      <w:r w:rsidRPr="00AA19C4">
        <w:rPr>
          <w:sz w:val="22"/>
          <w:szCs w:val="22"/>
          <w:vertAlign w:val="subscript"/>
        </w:rPr>
        <w:t>2</w:t>
      </w:r>
      <w:r w:rsidRPr="00937139">
        <w:rPr>
          <w:sz w:val="22"/>
          <w:szCs w:val="22"/>
        </w:rPr>
        <w:t xml:space="preserve"> near the power plant is feasible”.  </w:t>
      </w:r>
      <w:r w:rsidR="00F70FF5">
        <w:rPr>
          <w:sz w:val="22"/>
          <w:szCs w:val="22"/>
        </w:rPr>
        <w:t>Consequently,</w:t>
      </w:r>
      <w:r w:rsidR="000D378C">
        <w:rPr>
          <w:sz w:val="22"/>
          <w:szCs w:val="22"/>
        </w:rPr>
        <w:t xml:space="preserve"> for</w:t>
      </w:r>
      <w:r w:rsidRPr="00937139">
        <w:rPr>
          <w:sz w:val="22"/>
          <w:szCs w:val="22"/>
        </w:rPr>
        <w:t xml:space="preserve"> this project, CCS </w:t>
      </w:r>
      <w:r w:rsidR="000D378C">
        <w:rPr>
          <w:sz w:val="22"/>
          <w:szCs w:val="22"/>
        </w:rPr>
        <w:t>can be eliminated solely because it is not an</w:t>
      </w:r>
      <w:r w:rsidRPr="00937139">
        <w:rPr>
          <w:sz w:val="22"/>
          <w:szCs w:val="22"/>
        </w:rPr>
        <w:t xml:space="preserve"> economically feasible control technology based on the current status of </w:t>
      </w:r>
      <w:r w:rsidR="00310FB3">
        <w:rPr>
          <w:sz w:val="22"/>
          <w:szCs w:val="22"/>
        </w:rPr>
        <w:t>CCS</w:t>
      </w:r>
      <w:r w:rsidRPr="00937139">
        <w:rPr>
          <w:sz w:val="22"/>
          <w:szCs w:val="22"/>
        </w:rPr>
        <w:t xml:space="preserve"> technology</w:t>
      </w:r>
      <w:r>
        <w:rPr>
          <w:sz w:val="22"/>
          <w:szCs w:val="22"/>
        </w:rPr>
        <w:t>.</w:t>
      </w:r>
    </w:p>
    <w:p w:rsidR="009A1407" w:rsidRDefault="00F70FF5" w:rsidP="009A1407">
      <w:pPr>
        <w:widowControl w:val="0"/>
        <w:spacing w:after="120"/>
        <w:rPr>
          <w:sz w:val="22"/>
          <w:szCs w:val="22"/>
        </w:rPr>
      </w:pPr>
      <w:r>
        <w:rPr>
          <w:sz w:val="22"/>
          <w:szCs w:val="22"/>
        </w:rPr>
        <w:t xml:space="preserve">With regards to an </w:t>
      </w:r>
      <w:r w:rsidRPr="00F70FF5">
        <w:rPr>
          <w:sz w:val="22"/>
          <w:szCs w:val="22"/>
        </w:rPr>
        <w:t>Oxidation Catalyst</w:t>
      </w:r>
      <w:r w:rsidR="00BB6F7A">
        <w:rPr>
          <w:sz w:val="22"/>
          <w:szCs w:val="22"/>
        </w:rPr>
        <w:t>, the applicant has estimated that t</w:t>
      </w:r>
      <w:r w:rsidR="009A1407" w:rsidRPr="009A1407">
        <w:rPr>
          <w:sz w:val="22"/>
          <w:szCs w:val="22"/>
        </w:rPr>
        <w:t>he total amount of CO</w:t>
      </w:r>
      <w:r w:rsidR="009A1407" w:rsidRPr="00BB6F7A">
        <w:rPr>
          <w:sz w:val="22"/>
          <w:szCs w:val="22"/>
          <w:vertAlign w:val="subscript"/>
        </w:rPr>
        <w:t>2</w:t>
      </w:r>
      <w:r w:rsidR="009A1407" w:rsidRPr="009A1407">
        <w:rPr>
          <w:sz w:val="22"/>
          <w:szCs w:val="22"/>
        </w:rPr>
        <w:t>e resulting from CH</w:t>
      </w:r>
      <w:r w:rsidR="009A1407" w:rsidRPr="00BB6F7A">
        <w:rPr>
          <w:sz w:val="22"/>
          <w:szCs w:val="22"/>
          <w:vertAlign w:val="subscript"/>
        </w:rPr>
        <w:t>4</w:t>
      </w:r>
      <w:r w:rsidR="00C609B6">
        <w:rPr>
          <w:sz w:val="22"/>
          <w:szCs w:val="22"/>
        </w:rPr>
        <w:t xml:space="preserve"> emissions is only 0.05% </w:t>
      </w:r>
      <w:r w:rsidR="009A1407" w:rsidRPr="009A1407">
        <w:rPr>
          <w:sz w:val="22"/>
          <w:szCs w:val="22"/>
        </w:rPr>
        <w:t>of total CO</w:t>
      </w:r>
      <w:r w:rsidR="009A1407" w:rsidRPr="00BB6F7A">
        <w:rPr>
          <w:sz w:val="22"/>
          <w:szCs w:val="22"/>
          <w:vertAlign w:val="subscript"/>
        </w:rPr>
        <w:t>2</w:t>
      </w:r>
      <w:r w:rsidR="009A1407" w:rsidRPr="009A1407">
        <w:rPr>
          <w:sz w:val="22"/>
          <w:szCs w:val="22"/>
        </w:rPr>
        <w:t>e</w:t>
      </w:r>
      <w:r w:rsidR="00BB6F7A">
        <w:rPr>
          <w:sz w:val="22"/>
          <w:szCs w:val="22"/>
        </w:rPr>
        <w:t xml:space="preserve"> </w:t>
      </w:r>
      <w:r w:rsidR="009A1407" w:rsidRPr="009A1407">
        <w:rPr>
          <w:sz w:val="22"/>
          <w:szCs w:val="22"/>
        </w:rPr>
        <w:t>emissions and is about 900 tons CO</w:t>
      </w:r>
      <w:r w:rsidR="009A1407" w:rsidRPr="00BB6F7A">
        <w:rPr>
          <w:sz w:val="22"/>
          <w:szCs w:val="22"/>
          <w:vertAlign w:val="subscript"/>
        </w:rPr>
        <w:t>2</w:t>
      </w:r>
      <w:r w:rsidR="009A1407" w:rsidRPr="009A1407">
        <w:rPr>
          <w:sz w:val="22"/>
          <w:szCs w:val="22"/>
        </w:rPr>
        <w:t xml:space="preserve">e. </w:t>
      </w:r>
      <w:r w:rsidR="00BB6F7A">
        <w:rPr>
          <w:sz w:val="22"/>
          <w:szCs w:val="22"/>
        </w:rPr>
        <w:t xml:space="preserve"> </w:t>
      </w:r>
      <w:r w:rsidR="009A1407" w:rsidRPr="009A1407">
        <w:rPr>
          <w:sz w:val="22"/>
          <w:szCs w:val="22"/>
        </w:rPr>
        <w:t>The secondary emission</w:t>
      </w:r>
      <w:r w:rsidR="00C609B6">
        <w:rPr>
          <w:sz w:val="22"/>
          <w:szCs w:val="22"/>
        </w:rPr>
        <w:t>s</w:t>
      </w:r>
      <w:r w:rsidR="009A1407" w:rsidRPr="009A1407">
        <w:rPr>
          <w:sz w:val="22"/>
          <w:szCs w:val="22"/>
        </w:rPr>
        <w:t xml:space="preserve"> caused by the backpressure of an</w:t>
      </w:r>
      <w:r w:rsidR="00BB6F7A">
        <w:rPr>
          <w:sz w:val="22"/>
          <w:szCs w:val="22"/>
        </w:rPr>
        <w:t xml:space="preserve"> </w:t>
      </w:r>
      <w:r w:rsidR="009A1407" w:rsidRPr="009A1407">
        <w:rPr>
          <w:sz w:val="22"/>
          <w:szCs w:val="22"/>
        </w:rPr>
        <w:t>oxidation catalyst was estimated to be over 5,000 tons of CO</w:t>
      </w:r>
      <w:r w:rsidR="009A1407" w:rsidRPr="00BB6F7A">
        <w:rPr>
          <w:sz w:val="22"/>
          <w:szCs w:val="22"/>
          <w:vertAlign w:val="subscript"/>
        </w:rPr>
        <w:t>2</w:t>
      </w:r>
      <w:r w:rsidR="009A1407" w:rsidRPr="009A1407">
        <w:rPr>
          <w:sz w:val="22"/>
          <w:szCs w:val="22"/>
        </w:rPr>
        <w:t>.</w:t>
      </w:r>
      <w:r w:rsidR="00BB6F7A">
        <w:rPr>
          <w:sz w:val="22"/>
          <w:szCs w:val="22"/>
        </w:rPr>
        <w:t xml:space="preserve"> </w:t>
      </w:r>
      <w:r w:rsidR="009A1407" w:rsidRPr="009A1407">
        <w:rPr>
          <w:sz w:val="22"/>
          <w:szCs w:val="22"/>
        </w:rPr>
        <w:t xml:space="preserve"> Therefore, the addition of an oxidation</w:t>
      </w:r>
      <w:r w:rsidR="00BB6F7A">
        <w:rPr>
          <w:sz w:val="22"/>
          <w:szCs w:val="22"/>
        </w:rPr>
        <w:t xml:space="preserve"> </w:t>
      </w:r>
      <w:r w:rsidR="009A1407" w:rsidRPr="009A1407">
        <w:rPr>
          <w:sz w:val="22"/>
          <w:szCs w:val="22"/>
        </w:rPr>
        <w:t>catalyst to the CTG/HRSG for GHG control is neither practicable nor feasible to reduce CH</w:t>
      </w:r>
      <w:r w:rsidR="009A1407" w:rsidRPr="00BB6F7A">
        <w:rPr>
          <w:sz w:val="22"/>
          <w:szCs w:val="22"/>
          <w:vertAlign w:val="subscript"/>
        </w:rPr>
        <w:t>4</w:t>
      </w:r>
      <w:r w:rsidR="009A1407" w:rsidRPr="009A1407">
        <w:rPr>
          <w:sz w:val="22"/>
          <w:szCs w:val="22"/>
        </w:rPr>
        <w:t>.</w:t>
      </w:r>
    </w:p>
    <w:p w:rsidR="00473776" w:rsidRPr="00937139" w:rsidRDefault="00473776" w:rsidP="00C555A9">
      <w:pPr>
        <w:widowControl w:val="0"/>
        <w:spacing w:after="120"/>
        <w:rPr>
          <w:sz w:val="22"/>
          <w:szCs w:val="22"/>
        </w:rPr>
      </w:pPr>
      <w:r>
        <w:rPr>
          <w:sz w:val="22"/>
          <w:szCs w:val="22"/>
        </w:rPr>
        <w:t xml:space="preserve">The applicant has </w:t>
      </w:r>
      <w:r w:rsidR="00C555A9">
        <w:rPr>
          <w:sz w:val="22"/>
          <w:szCs w:val="22"/>
        </w:rPr>
        <w:t xml:space="preserve">identified the </w:t>
      </w:r>
      <w:r w:rsidR="00C555A9" w:rsidRPr="00C555A9">
        <w:rPr>
          <w:sz w:val="22"/>
          <w:szCs w:val="22"/>
        </w:rPr>
        <w:t xml:space="preserve">“top” control option for the CTG/HRSG </w:t>
      </w:r>
      <w:r w:rsidR="00C555A9">
        <w:rPr>
          <w:sz w:val="22"/>
          <w:szCs w:val="22"/>
        </w:rPr>
        <w:t>to be</w:t>
      </w:r>
      <w:r w:rsidR="00C555A9" w:rsidRPr="00C555A9">
        <w:rPr>
          <w:sz w:val="22"/>
          <w:szCs w:val="22"/>
        </w:rPr>
        <w:t xml:space="preserve"> energy efficiency</w:t>
      </w:r>
      <w:r w:rsidR="002E592E">
        <w:rPr>
          <w:sz w:val="22"/>
          <w:szCs w:val="22"/>
        </w:rPr>
        <w:t>, along with the</w:t>
      </w:r>
      <w:r w:rsidR="00C555A9" w:rsidRPr="00C555A9">
        <w:rPr>
          <w:sz w:val="22"/>
          <w:szCs w:val="22"/>
        </w:rPr>
        <w:t xml:space="preserve"> use natural gas </w:t>
      </w:r>
      <w:r w:rsidR="002E592E">
        <w:rPr>
          <w:sz w:val="22"/>
          <w:szCs w:val="22"/>
        </w:rPr>
        <w:t>which emits the lowest amount</w:t>
      </w:r>
      <w:r w:rsidR="00C555A9" w:rsidRPr="00C555A9">
        <w:rPr>
          <w:sz w:val="22"/>
          <w:szCs w:val="22"/>
        </w:rPr>
        <w:t xml:space="preserve"> GHG</w:t>
      </w:r>
      <w:r w:rsidR="002E592E">
        <w:rPr>
          <w:sz w:val="22"/>
          <w:szCs w:val="22"/>
        </w:rPr>
        <w:t xml:space="preserve"> </w:t>
      </w:r>
      <w:r w:rsidR="00C555A9" w:rsidRPr="00C555A9">
        <w:rPr>
          <w:sz w:val="22"/>
          <w:szCs w:val="22"/>
        </w:rPr>
        <w:t>of any fossil fuel.</w:t>
      </w:r>
    </w:p>
    <w:p w:rsidR="00297927" w:rsidRDefault="00297927" w:rsidP="00250D3B">
      <w:pPr>
        <w:widowControl w:val="0"/>
        <w:spacing w:after="120"/>
        <w:rPr>
          <w:sz w:val="22"/>
          <w:szCs w:val="22"/>
          <w:u w:val="single"/>
        </w:rPr>
      </w:pPr>
      <w:r w:rsidRPr="00297927">
        <w:rPr>
          <w:sz w:val="22"/>
          <w:szCs w:val="22"/>
          <w:u w:val="single"/>
        </w:rPr>
        <w:t>Evaluation of Economic, Environmental, and Energy Impacts of Feasible Technologies</w:t>
      </w:r>
    </w:p>
    <w:p w:rsidR="00911FA8" w:rsidRPr="00911FA8" w:rsidRDefault="00FA1734" w:rsidP="00911FA8">
      <w:pPr>
        <w:widowControl w:val="0"/>
        <w:spacing w:after="120"/>
        <w:rPr>
          <w:sz w:val="22"/>
          <w:szCs w:val="22"/>
        </w:rPr>
      </w:pPr>
      <w:r>
        <w:rPr>
          <w:sz w:val="22"/>
          <w:szCs w:val="22"/>
        </w:rPr>
        <w:t>By selecting energy efficiency and clean fuels, t</w:t>
      </w:r>
      <w:r w:rsidR="00592269">
        <w:rPr>
          <w:sz w:val="22"/>
          <w:szCs w:val="22"/>
        </w:rPr>
        <w:t xml:space="preserve">he applicant did not identify any </w:t>
      </w:r>
      <w:r w:rsidR="005741EE">
        <w:rPr>
          <w:sz w:val="22"/>
          <w:szCs w:val="22"/>
        </w:rPr>
        <w:t xml:space="preserve">adverse </w:t>
      </w:r>
      <w:r w:rsidR="00AC3504">
        <w:rPr>
          <w:sz w:val="22"/>
          <w:szCs w:val="22"/>
        </w:rPr>
        <w:t>e</w:t>
      </w:r>
      <w:r w:rsidR="00AC3504" w:rsidRPr="00AC3504">
        <w:rPr>
          <w:sz w:val="22"/>
          <w:szCs w:val="22"/>
        </w:rPr>
        <w:t xml:space="preserve">conomic, </w:t>
      </w:r>
      <w:r w:rsidR="00AC3504">
        <w:rPr>
          <w:sz w:val="22"/>
          <w:szCs w:val="22"/>
        </w:rPr>
        <w:t>e</w:t>
      </w:r>
      <w:r w:rsidR="00AC3504" w:rsidRPr="00AC3504">
        <w:rPr>
          <w:sz w:val="22"/>
          <w:szCs w:val="22"/>
        </w:rPr>
        <w:t xml:space="preserve">nvironmental, </w:t>
      </w:r>
      <w:r w:rsidR="00AC3504">
        <w:rPr>
          <w:sz w:val="22"/>
          <w:szCs w:val="22"/>
        </w:rPr>
        <w:t>or</w:t>
      </w:r>
      <w:r w:rsidR="00AC3504" w:rsidRPr="00AC3504">
        <w:rPr>
          <w:sz w:val="22"/>
          <w:szCs w:val="22"/>
        </w:rPr>
        <w:t xml:space="preserve"> </w:t>
      </w:r>
      <w:r w:rsidR="00AC3504">
        <w:rPr>
          <w:sz w:val="22"/>
          <w:szCs w:val="22"/>
        </w:rPr>
        <w:t>e</w:t>
      </w:r>
      <w:r w:rsidR="00AC3504" w:rsidRPr="00AC3504">
        <w:rPr>
          <w:sz w:val="22"/>
          <w:szCs w:val="22"/>
        </w:rPr>
        <w:t xml:space="preserve">nergy </w:t>
      </w:r>
      <w:r w:rsidR="00AC3504">
        <w:rPr>
          <w:sz w:val="22"/>
          <w:szCs w:val="22"/>
        </w:rPr>
        <w:t>i</w:t>
      </w:r>
      <w:r w:rsidR="00AC3504" w:rsidRPr="00AC3504">
        <w:rPr>
          <w:sz w:val="22"/>
          <w:szCs w:val="22"/>
        </w:rPr>
        <w:t>mpacts</w:t>
      </w:r>
      <w:r w:rsidR="00811AC7" w:rsidRPr="00811AC7">
        <w:rPr>
          <w:sz w:val="22"/>
          <w:szCs w:val="22"/>
        </w:rPr>
        <w:t>.</w:t>
      </w:r>
      <w:r w:rsidR="00AC3504">
        <w:rPr>
          <w:sz w:val="22"/>
          <w:szCs w:val="22"/>
        </w:rPr>
        <w:t xml:space="preserve">  </w:t>
      </w:r>
      <w:r w:rsidR="004E6372">
        <w:rPr>
          <w:sz w:val="22"/>
          <w:szCs w:val="22"/>
        </w:rPr>
        <w:t>T</w:t>
      </w:r>
      <w:r w:rsidR="00B339F2" w:rsidRPr="00B339F2">
        <w:rPr>
          <w:sz w:val="22"/>
          <w:szCs w:val="22"/>
        </w:rPr>
        <w:t>he proposed combined cycle units’ net heat rate and energy efficiency were compared to data obtained</w:t>
      </w:r>
      <w:r w:rsidR="00911FA8">
        <w:rPr>
          <w:sz w:val="22"/>
          <w:szCs w:val="22"/>
        </w:rPr>
        <w:t xml:space="preserve"> </w:t>
      </w:r>
      <w:r w:rsidR="00B339F2" w:rsidRPr="00B339F2">
        <w:rPr>
          <w:sz w:val="22"/>
          <w:szCs w:val="22"/>
        </w:rPr>
        <w:t xml:space="preserve">from the </w:t>
      </w:r>
      <w:r w:rsidR="001922E1">
        <w:rPr>
          <w:sz w:val="22"/>
          <w:szCs w:val="22"/>
        </w:rPr>
        <w:t>EIA</w:t>
      </w:r>
      <w:r w:rsidR="001922E1">
        <w:rPr>
          <w:rStyle w:val="FootnoteReference"/>
          <w:sz w:val="22"/>
          <w:szCs w:val="22"/>
        </w:rPr>
        <w:footnoteReference w:id="8"/>
      </w:r>
      <w:r w:rsidR="00B339F2" w:rsidRPr="00B339F2">
        <w:rPr>
          <w:sz w:val="22"/>
          <w:szCs w:val="22"/>
        </w:rPr>
        <w:t>.</w:t>
      </w:r>
      <w:r w:rsidR="00740D4D">
        <w:rPr>
          <w:sz w:val="22"/>
          <w:szCs w:val="22"/>
        </w:rPr>
        <w:t xml:space="preserve"> </w:t>
      </w:r>
      <w:r w:rsidR="001922E1">
        <w:rPr>
          <w:sz w:val="22"/>
          <w:szCs w:val="22"/>
        </w:rPr>
        <w:t xml:space="preserve"> </w:t>
      </w:r>
      <w:r w:rsidR="00911FA8" w:rsidRPr="00911FA8">
        <w:rPr>
          <w:sz w:val="22"/>
          <w:szCs w:val="22"/>
        </w:rPr>
        <w:t>Based on US EIA’s 2016 annual review of the electrical power industry, the reported average net heat rate</w:t>
      </w:r>
      <w:r w:rsidR="00911FA8">
        <w:rPr>
          <w:sz w:val="22"/>
          <w:szCs w:val="22"/>
        </w:rPr>
        <w:t xml:space="preserve"> </w:t>
      </w:r>
      <w:r w:rsidR="00911FA8" w:rsidRPr="00911FA8">
        <w:rPr>
          <w:sz w:val="22"/>
          <w:szCs w:val="22"/>
        </w:rPr>
        <w:t>for natural ga</w:t>
      </w:r>
      <w:r w:rsidR="00E22B78">
        <w:rPr>
          <w:sz w:val="22"/>
          <w:szCs w:val="22"/>
        </w:rPr>
        <w:t xml:space="preserve">s firing </w:t>
      </w:r>
      <w:r w:rsidR="00E22B78" w:rsidRPr="00E22B78">
        <w:rPr>
          <w:sz w:val="22"/>
          <w:szCs w:val="22"/>
        </w:rPr>
        <w:t>by</w:t>
      </w:r>
      <w:r w:rsidR="00E22B78">
        <w:rPr>
          <w:sz w:val="22"/>
          <w:szCs w:val="22"/>
        </w:rPr>
        <w:t xml:space="preserve"> the</w:t>
      </w:r>
      <w:r w:rsidR="00E22B78" w:rsidRPr="00E22B78">
        <w:rPr>
          <w:sz w:val="22"/>
          <w:szCs w:val="22"/>
        </w:rPr>
        <w:t xml:space="preserve"> higher heating value (HHV)</w:t>
      </w:r>
      <w:r w:rsidR="00E22B78">
        <w:rPr>
          <w:sz w:val="22"/>
          <w:szCs w:val="22"/>
        </w:rPr>
        <w:t xml:space="preserve"> was 7,870 Btu/kWh net</w:t>
      </w:r>
      <w:r w:rsidR="00911FA8" w:rsidRPr="00911FA8">
        <w:rPr>
          <w:sz w:val="22"/>
          <w:szCs w:val="22"/>
        </w:rPr>
        <w:t xml:space="preserve"> (43.4 percent efficiency) including all types of</w:t>
      </w:r>
      <w:r w:rsidR="00911FA8">
        <w:rPr>
          <w:sz w:val="22"/>
          <w:szCs w:val="22"/>
        </w:rPr>
        <w:t xml:space="preserve"> </w:t>
      </w:r>
      <w:r w:rsidR="00911FA8" w:rsidRPr="00911FA8">
        <w:rPr>
          <w:sz w:val="22"/>
          <w:szCs w:val="22"/>
        </w:rPr>
        <w:t>generation.</w:t>
      </w:r>
      <w:r>
        <w:rPr>
          <w:sz w:val="22"/>
          <w:szCs w:val="22"/>
        </w:rPr>
        <w:t xml:space="preserve"> </w:t>
      </w:r>
      <w:r w:rsidR="00911FA8" w:rsidRPr="00911FA8">
        <w:rPr>
          <w:sz w:val="22"/>
          <w:szCs w:val="22"/>
        </w:rPr>
        <w:t xml:space="preserve"> Of the generation types, the average tested heat rates when firing natural</w:t>
      </w:r>
      <w:r w:rsidR="00911FA8">
        <w:rPr>
          <w:sz w:val="22"/>
          <w:szCs w:val="22"/>
        </w:rPr>
        <w:t xml:space="preserve"> </w:t>
      </w:r>
      <w:r w:rsidR="00911FA8" w:rsidRPr="00911FA8">
        <w:rPr>
          <w:sz w:val="22"/>
          <w:szCs w:val="22"/>
        </w:rPr>
        <w:t>gas are:</w:t>
      </w:r>
    </w:p>
    <w:p w:rsidR="00911FA8" w:rsidRPr="00911FA8" w:rsidRDefault="00911FA8" w:rsidP="00911FA8">
      <w:pPr>
        <w:pStyle w:val="ListParagraph"/>
        <w:widowControl w:val="0"/>
        <w:numPr>
          <w:ilvl w:val="0"/>
          <w:numId w:val="32"/>
        </w:numPr>
        <w:spacing w:after="120"/>
        <w:rPr>
          <w:sz w:val="22"/>
          <w:szCs w:val="22"/>
        </w:rPr>
      </w:pPr>
      <w:r w:rsidRPr="00911FA8">
        <w:rPr>
          <w:sz w:val="22"/>
          <w:szCs w:val="22"/>
        </w:rPr>
        <w:t>Steam turbine generator – 10,382 Btu/kWh net (HHV) (32.9 percent efficiency),</w:t>
      </w:r>
    </w:p>
    <w:p w:rsidR="00911FA8" w:rsidRPr="00911FA8" w:rsidRDefault="00911FA8" w:rsidP="00911FA8">
      <w:pPr>
        <w:pStyle w:val="ListParagraph"/>
        <w:widowControl w:val="0"/>
        <w:numPr>
          <w:ilvl w:val="0"/>
          <w:numId w:val="32"/>
        </w:numPr>
        <w:spacing w:after="120"/>
        <w:rPr>
          <w:sz w:val="22"/>
          <w:szCs w:val="22"/>
        </w:rPr>
      </w:pPr>
      <w:r w:rsidRPr="00911FA8">
        <w:rPr>
          <w:sz w:val="22"/>
          <w:szCs w:val="22"/>
        </w:rPr>
        <w:t>Natural gas turbine – 11,214 Btu/kWh net (HHV) (30.4 percent efficiency),</w:t>
      </w:r>
    </w:p>
    <w:p w:rsidR="00911FA8" w:rsidRPr="00911FA8" w:rsidRDefault="00911FA8" w:rsidP="00911FA8">
      <w:pPr>
        <w:pStyle w:val="ListParagraph"/>
        <w:widowControl w:val="0"/>
        <w:numPr>
          <w:ilvl w:val="0"/>
          <w:numId w:val="32"/>
        </w:numPr>
        <w:spacing w:after="120"/>
        <w:rPr>
          <w:sz w:val="22"/>
          <w:szCs w:val="22"/>
        </w:rPr>
      </w:pPr>
      <w:r w:rsidRPr="00911FA8">
        <w:rPr>
          <w:sz w:val="22"/>
          <w:szCs w:val="22"/>
        </w:rPr>
        <w:t>Internal combustion – 9,179 Btu/kWh net (HHV) (37.2 percent efficiency), and</w:t>
      </w:r>
    </w:p>
    <w:p w:rsidR="00911FA8" w:rsidRDefault="00911FA8" w:rsidP="00911FA8">
      <w:pPr>
        <w:pStyle w:val="ListParagraph"/>
        <w:widowControl w:val="0"/>
        <w:numPr>
          <w:ilvl w:val="0"/>
          <w:numId w:val="32"/>
        </w:numPr>
        <w:spacing w:after="120"/>
        <w:rPr>
          <w:sz w:val="22"/>
          <w:szCs w:val="22"/>
        </w:rPr>
      </w:pPr>
      <w:r w:rsidRPr="00911FA8">
        <w:rPr>
          <w:sz w:val="22"/>
          <w:szCs w:val="22"/>
        </w:rPr>
        <w:t>Combined cycle – 7,652 Btu/kWh net (HHV) (44.6 percent efficiency).</w:t>
      </w:r>
    </w:p>
    <w:p w:rsidR="00FA1734" w:rsidRPr="00FA1734" w:rsidRDefault="00FA1734" w:rsidP="00FA1734">
      <w:pPr>
        <w:widowControl w:val="0"/>
        <w:spacing w:after="120"/>
        <w:rPr>
          <w:sz w:val="22"/>
          <w:szCs w:val="22"/>
        </w:rPr>
      </w:pPr>
      <w:r w:rsidRPr="00911FA8">
        <w:rPr>
          <w:sz w:val="22"/>
          <w:szCs w:val="22"/>
        </w:rPr>
        <w:t>For comparison, the</w:t>
      </w:r>
      <w:r w:rsidR="004E6372">
        <w:rPr>
          <w:sz w:val="22"/>
          <w:szCs w:val="22"/>
        </w:rPr>
        <w:t xml:space="preserve"> applicant calculated a</w:t>
      </w:r>
      <w:r w:rsidR="004E6372" w:rsidRPr="00911FA8">
        <w:rPr>
          <w:sz w:val="22"/>
          <w:szCs w:val="22"/>
        </w:rPr>
        <w:t xml:space="preserve"> </w:t>
      </w:r>
      <w:r w:rsidR="004E6372">
        <w:rPr>
          <w:sz w:val="22"/>
          <w:szCs w:val="22"/>
        </w:rPr>
        <w:t>“new and clean”</w:t>
      </w:r>
      <w:r w:rsidRPr="00911FA8">
        <w:rPr>
          <w:sz w:val="22"/>
          <w:szCs w:val="22"/>
        </w:rPr>
        <w:t xml:space="preserve"> net heat rate </w:t>
      </w:r>
      <w:r w:rsidR="00737BF8">
        <w:rPr>
          <w:sz w:val="22"/>
          <w:szCs w:val="22"/>
        </w:rPr>
        <w:t>for</w:t>
      </w:r>
      <w:r w:rsidRPr="00911FA8">
        <w:rPr>
          <w:sz w:val="22"/>
          <w:szCs w:val="22"/>
        </w:rPr>
        <w:t xml:space="preserve"> </w:t>
      </w:r>
      <w:r>
        <w:rPr>
          <w:sz w:val="22"/>
          <w:szCs w:val="22"/>
        </w:rPr>
        <w:t>the combined cycle unit t</w:t>
      </w:r>
      <w:r w:rsidRPr="00911FA8">
        <w:rPr>
          <w:sz w:val="22"/>
          <w:szCs w:val="22"/>
        </w:rPr>
        <w:t>o be 6,200 Btu/kWh net (HHV) (55.0 percent efficiency) at baseload condition</w:t>
      </w:r>
      <w:r>
        <w:rPr>
          <w:sz w:val="22"/>
          <w:szCs w:val="22"/>
        </w:rPr>
        <w:t>s</w:t>
      </w:r>
      <w:r w:rsidRPr="00911FA8">
        <w:rPr>
          <w:sz w:val="22"/>
          <w:szCs w:val="22"/>
        </w:rPr>
        <w:t xml:space="preserve"> </w:t>
      </w:r>
      <w:r w:rsidR="00E22B78">
        <w:rPr>
          <w:sz w:val="22"/>
          <w:szCs w:val="22"/>
        </w:rPr>
        <w:t>and</w:t>
      </w:r>
      <w:r w:rsidRPr="00911FA8">
        <w:rPr>
          <w:sz w:val="22"/>
          <w:szCs w:val="22"/>
        </w:rPr>
        <w:t xml:space="preserve"> 7,284 Btu/kWh(HHV) (47.0 percent efficiency) at </w:t>
      </w:r>
      <w:r w:rsidR="004E6372">
        <w:rPr>
          <w:sz w:val="22"/>
          <w:szCs w:val="22"/>
        </w:rPr>
        <w:t xml:space="preserve">the </w:t>
      </w:r>
      <w:r w:rsidRPr="00911FA8">
        <w:rPr>
          <w:sz w:val="22"/>
          <w:szCs w:val="22"/>
        </w:rPr>
        <w:t>MECL</w:t>
      </w:r>
      <w:r w:rsidR="00A95811">
        <w:rPr>
          <w:sz w:val="22"/>
          <w:szCs w:val="22"/>
        </w:rPr>
        <w:t>,</w:t>
      </w:r>
      <w:r w:rsidRPr="00911FA8">
        <w:rPr>
          <w:sz w:val="22"/>
          <w:szCs w:val="22"/>
        </w:rPr>
        <w:t xml:space="preserve"> based on an ambient temperature of 77</w:t>
      </w:r>
      <w:r w:rsidR="00C701DD">
        <w:rPr>
          <w:sz w:val="22"/>
          <w:szCs w:val="22"/>
        </w:rPr>
        <w:t>°</w:t>
      </w:r>
      <w:r w:rsidRPr="00911FA8">
        <w:rPr>
          <w:sz w:val="22"/>
          <w:szCs w:val="22"/>
        </w:rPr>
        <w:t>F.</w:t>
      </w:r>
    </w:p>
    <w:p w:rsidR="00250D3B" w:rsidRDefault="00250D3B" w:rsidP="00250D3B">
      <w:pPr>
        <w:widowControl w:val="0"/>
        <w:spacing w:after="120"/>
        <w:rPr>
          <w:sz w:val="22"/>
          <w:szCs w:val="22"/>
          <w:u w:val="single"/>
        </w:rPr>
      </w:pPr>
      <w:r w:rsidRPr="006C19BE">
        <w:rPr>
          <w:sz w:val="22"/>
          <w:szCs w:val="22"/>
          <w:u w:val="single"/>
        </w:rPr>
        <w:t>Selection of BACT and Rationale</w:t>
      </w:r>
    </w:p>
    <w:p w:rsidR="00A26DEA" w:rsidRPr="00A26DEA" w:rsidRDefault="00A26DEA" w:rsidP="00A26DEA">
      <w:pPr>
        <w:widowControl w:val="0"/>
        <w:spacing w:after="120"/>
        <w:rPr>
          <w:sz w:val="22"/>
          <w:szCs w:val="22"/>
        </w:rPr>
      </w:pPr>
      <w:r w:rsidRPr="00A26DEA">
        <w:rPr>
          <w:sz w:val="22"/>
          <w:szCs w:val="22"/>
        </w:rPr>
        <w:t>The Department converted th</w:t>
      </w:r>
      <w:r w:rsidR="006E6341">
        <w:rPr>
          <w:sz w:val="22"/>
          <w:szCs w:val="22"/>
        </w:rPr>
        <w:t>e</w:t>
      </w:r>
      <w:r w:rsidRPr="00A26DEA">
        <w:rPr>
          <w:sz w:val="22"/>
          <w:szCs w:val="22"/>
        </w:rPr>
        <w:t xml:space="preserve"> </w:t>
      </w:r>
      <w:r w:rsidR="006E6341">
        <w:rPr>
          <w:sz w:val="22"/>
          <w:szCs w:val="22"/>
        </w:rPr>
        <w:t xml:space="preserve">unit’s net heat rate </w:t>
      </w:r>
      <w:r w:rsidRPr="00A26DEA">
        <w:rPr>
          <w:sz w:val="22"/>
          <w:szCs w:val="22"/>
        </w:rPr>
        <w:t>to an expected baseload CO</w:t>
      </w:r>
      <w:r w:rsidRPr="00A26DEA">
        <w:rPr>
          <w:sz w:val="22"/>
          <w:szCs w:val="22"/>
          <w:vertAlign w:val="subscript"/>
        </w:rPr>
        <w:t>2</w:t>
      </w:r>
      <w:r w:rsidRPr="00A26DEA">
        <w:rPr>
          <w:sz w:val="22"/>
          <w:szCs w:val="22"/>
        </w:rPr>
        <w:t xml:space="preserve"> emissions rate of approximately 7</w:t>
      </w:r>
      <w:r w:rsidR="0022025A">
        <w:rPr>
          <w:sz w:val="22"/>
          <w:szCs w:val="22"/>
        </w:rPr>
        <w:t>37</w:t>
      </w:r>
      <w:r w:rsidRPr="00A26DEA">
        <w:rPr>
          <w:sz w:val="22"/>
          <w:szCs w:val="22"/>
        </w:rPr>
        <w:t xml:space="preserve"> lb CO</w:t>
      </w:r>
      <w:r w:rsidRPr="00A26DEA">
        <w:rPr>
          <w:sz w:val="22"/>
          <w:szCs w:val="22"/>
          <w:vertAlign w:val="subscript"/>
        </w:rPr>
        <w:t>2</w:t>
      </w:r>
      <w:r w:rsidRPr="00A26DEA">
        <w:rPr>
          <w:sz w:val="22"/>
          <w:szCs w:val="22"/>
        </w:rPr>
        <w:t xml:space="preserve"> per MWh:</w:t>
      </w:r>
    </w:p>
    <w:p w:rsidR="00A26DEA" w:rsidRPr="00A26DEA" w:rsidRDefault="00A26DEA" w:rsidP="00A26DEA">
      <w:pPr>
        <w:widowControl w:val="0"/>
        <w:spacing w:before="240" w:after="240"/>
        <w:ind w:right="662"/>
        <w:rPr>
          <w:sz w:val="22"/>
          <w:szCs w:val="22"/>
        </w:rPr>
      </w:pPr>
      <m:oMathPara>
        <m:oMathParaPr>
          <m:jc m:val="center"/>
        </m:oMathParaPr>
        <m:oMath>
          <m:r>
            <w:rPr>
              <w:rFonts w:ascii="Cambria Math" w:hAnsi="Cambria Math"/>
              <w:sz w:val="22"/>
              <w:szCs w:val="22"/>
            </w:rPr>
            <m:t>6,200</m:t>
          </m:r>
          <m:f>
            <m:fPr>
              <m:ctrlPr>
                <w:rPr>
                  <w:rFonts w:ascii="Cambria Math" w:hAnsi="Cambria Math"/>
                  <w:i/>
                  <w:sz w:val="22"/>
                  <w:szCs w:val="22"/>
                </w:rPr>
              </m:ctrlPr>
            </m:fPr>
            <m:num>
              <m:r>
                <w:rPr>
                  <w:rFonts w:ascii="Cambria Math" w:hAnsi="Cambria Math"/>
                  <w:sz w:val="22"/>
                  <w:szCs w:val="22"/>
                </w:rPr>
                <m:t>Btu</m:t>
              </m:r>
            </m:num>
            <m:den>
              <m:r>
                <w:rPr>
                  <w:rFonts w:ascii="Cambria Math" w:hAnsi="Cambria Math"/>
                  <w:sz w:val="22"/>
                  <w:szCs w:val="22"/>
                </w:rPr>
                <m:t>kWh</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118.9 lb C</m:t>
              </m:r>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num>
            <m:den>
              <m:sSup>
                <m:sSupPr>
                  <m:ctrlPr>
                    <w:rPr>
                      <w:rFonts w:ascii="Cambria Math" w:hAnsi="Cambria Math"/>
                      <w:i/>
                      <w:sz w:val="22"/>
                      <w:szCs w:val="22"/>
                    </w:rPr>
                  </m:ctrlPr>
                </m:sSupPr>
                <m:e>
                  <m:r>
                    <w:rPr>
                      <w:rFonts w:ascii="Cambria Math" w:hAnsi="Cambria Math"/>
                      <w:sz w:val="22"/>
                      <w:szCs w:val="22"/>
                    </w:rPr>
                    <m:t>10</m:t>
                  </m:r>
                </m:e>
                <m:sup>
                  <m:r>
                    <w:rPr>
                      <w:rFonts w:ascii="Cambria Math" w:hAnsi="Cambria Math"/>
                      <w:sz w:val="22"/>
                      <w:szCs w:val="22"/>
                    </w:rPr>
                    <m:t>6</m:t>
                  </m:r>
                </m:sup>
              </m:sSup>
              <m:r>
                <w:rPr>
                  <w:rFonts w:ascii="Cambria Math" w:hAnsi="Cambria Math"/>
                  <w:sz w:val="22"/>
                  <w:szCs w:val="22"/>
                </w:rPr>
                <m:t>Btu</m:t>
              </m:r>
            </m:den>
          </m:f>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1000 kWh</m:t>
              </m:r>
            </m:num>
            <m:den>
              <m:r>
                <w:rPr>
                  <w:rFonts w:ascii="Cambria Math" w:hAnsi="Cambria Math"/>
                  <w:sz w:val="22"/>
                  <w:szCs w:val="22"/>
                </w:rPr>
                <m:t>MWh</m:t>
              </m:r>
            </m:den>
          </m:f>
          <m:r>
            <w:rPr>
              <w:rFonts w:ascii="Cambria Math" w:hAnsi="Cambria Math"/>
              <w:sz w:val="22"/>
              <w:szCs w:val="22"/>
            </w:rPr>
            <m:t>=737.2</m:t>
          </m:r>
          <m:f>
            <m:fPr>
              <m:ctrlPr>
                <w:rPr>
                  <w:rFonts w:ascii="Cambria Math" w:hAnsi="Cambria Math"/>
                  <w:i/>
                  <w:sz w:val="22"/>
                  <w:szCs w:val="22"/>
                </w:rPr>
              </m:ctrlPr>
            </m:fPr>
            <m:num>
              <m:r>
                <w:rPr>
                  <w:rFonts w:ascii="Cambria Math" w:hAnsi="Cambria Math"/>
                  <w:sz w:val="22"/>
                  <w:szCs w:val="22"/>
                </w:rPr>
                <m:t>lb C</m:t>
              </m:r>
              <m:sSub>
                <m:sSubPr>
                  <m:ctrlPr>
                    <w:rPr>
                      <w:rFonts w:ascii="Cambria Math" w:hAnsi="Cambria Math"/>
                      <w:i/>
                      <w:sz w:val="22"/>
                      <w:szCs w:val="22"/>
                    </w:rPr>
                  </m:ctrlPr>
                </m:sSubPr>
                <m:e>
                  <m:r>
                    <w:rPr>
                      <w:rFonts w:ascii="Cambria Math" w:hAnsi="Cambria Math"/>
                      <w:sz w:val="22"/>
                      <w:szCs w:val="22"/>
                    </w:rPr>
                    <m:t>O</m:t>
                  </m:r>
                </m:e>
                <m:sub>
                  <m:r>
                    <w:rPr>
                      <w:rFonts w:ascii="Cambria Math" w:hAnsi="Cambria Math"/>
                      <w:sz w:val="22"/>
                      <w:szCs w:val="22"/>
                    </w:rPr>
                    <m:t>2</m:t>
                  </m:r>
                </m:sub>
              </m:sSub>
            </m:num>
            <m:den>
              <m:r>
                <w:rPr>
                  <w:rFonts w:ascii="Cambria Math" w:hAnsi="Cambria Math"/>
                  <w:sz w:val="22"/>
                  <w:szCs w:val="22"/>
                </w:rPr>
                <m:t>MWh</m:t>
              </m:r>
            </m:den>
          </m:f>
        </m:oMath>
      </m:oMathPara>
    </w:p>
    <w:p w:rsidR="001F2DEA" w:rsidRPr="00EA687E" w:rsidRDefault="001F2DEA" w:rsidP="00A26DEA">
      <w:pPr>
        <w:widowControl w:val="0"/>
        <w:spacing w:before="120" w:after="120"/>
        <w:rPr>
          <w:i/>
          <w:szCs w:val="22"/>
        </w:rPr>
      </w:pPr>
      <w:r w:rsidRPr="00EA687E">
        <w:rPr>
          <w:i/>
          <w:szCs w:val="22"/>
        </w:rPr>
        <w:t>Note:  CO</w:t>
      </w:r>
      <w:r w:rsidRPr="00EA687E">
        <w:rPr>
          <w:i/>
          <w:szCs w:val="22"/>
          <w:vertAlign w:val="subscript"/>
        </w:rPr>
        <w:t>2</w:t>
      </w:r>
      <w:r w:rsidRPr="00EA687E">
        <w:rPr>
          <w:i/>
          <w:szCs w:val="22"/>
        </w:rPr>
        <w:t xml:space="preserve"> in lb/MMBtu, based on 40 CFR Part 75 Appendix G, Section 2.3 Table C-2, Subpart C, 40 CFR 98. Emission factors in kg/MMBtu for CH</w:t>
      </w:r>
      <w:r w:rsidRPr="00EA687E">
        <w:rPr>
          <w:i/>
          <w:szCs w:val="22"/>
          <w:vertAlign w:val="subscript"/>
        </w:rPr>
        <w:t>2</w:t>
      </w:r>
      <w:r w:rsidRPr="00EA687E">
        <w:rPr>
          <w:i/>
          <w:szCs w:val="22"/>
        </w:rPr>
        <w:t xml:space="preserve"> and N</w:t>
      </w:r>
      <w:r w:rsidRPr="00EA687E">
        <w:rPr>
          <w:i/>
          <w:szCs w:val="22"/>
          <w:vertAlign w:val="subscript"/>
        </w:rPr>
        <w:t>2</w:t>
      </w:r>
      <w:r w:rsidRPr="00EA687E">
        <w:rPr>
          <w:i/>
          <w:szCs w:val="22"/>
        </w:rPr>
        <w:t>O</w:t>
      </w:r>
      <w:r w:rsidR="00E166F4">
        <w:rPr>
          <w:i/>
          <w:szCs w:val="22"/>
        </w:rPr>
        <w:t>.</w:t>
      </w:r>
    </w:p>
    <w:p w:rsidR="00A26DEA" w:rsidRPr="00A26DEA" w:rsidRDefault="00A26DEA" w:rsidP="00A26DEA">
      <w:pPr>
        <w:widowControl w:val="0"/>
        <w:spacing w:before="120" w:after="120"/>
        <w:rPr>
          <w:sz w:val="22"/>
          <w:szCs w:val="22"/>
        </w:rPr>
      </w:pPr>
      <w:r w:rsidRPr="00A26DEA">
        <w:rPr>
          <w:sz w:val="22"/>
          <w:szCs w:val="22"/>
        </w:rPr>
        <w:t xml:space="preserve">This would be the expected “new and clean” emissions rate for </w:t>
      </w:r>
      <w:r w:rsidR="007E0264">
        <w:rPr>
          <w:sz w:val="22"/>
          <w:szCs w:val="22"/>
        </w:rPr>
        <w:t>the CTG</w:t>
      </w:r>
      <w:r w:rsidRPr="00A26DEA">
        <w:rPr>
          <w:sz w:val="22"/>
          <w:szCs w:val="22"/>
        </w:rPr>
        <w:t xml:space="preserve">, operating at baseload conditions.  However, such efficiency would not be achieved at lower loads which is </w:t>
      </w:r>
      <w:r w:rsidR="00310FB3">
        <w:rPr>
          <w:sz w:val="22"/>
          <w:szCs w:val="22"/>
        </w:rPr>
        <w:t>a</w:t>
      </w:r>
      <w:r w:rsidRPr="00A26DEA">
        <w:rPr>
          <w:sz w:val="22"/>
          <w:szCs w:val="22"/>
        </w:rPr>
        <w:t xml:space="preserve"> necessary </w:t>
      </w:r>
      <w:r w:rsidR="00310FB3">
        <w:rPr>
          <w:sz w:val="22"/>
          <w:szCs w:val="22"/>
        </w:rPr>
        <w:t xml:space="preserve">mode </w:t>
      </w:r>
      <w:r w:rsidR="00770B0F">
        <w:rPr>
          <w:sz w:val="22"/>
          <w:szCs w:val="22"/>
        </w:rPr>
        <w:t>for</w:t>
      </w:r>
      <w:r w:rsidRPr="00A26DEA">
        <w:rPr>
          <w:sz w:val="22"/>
          <w:szCs w:val="22"/>
        </w:rPr>
        <w:t xml:space="preserve"> turbine</w:t>
      </w:r>
      <w:r w:rsidR="00770B0F">
        <w:rPr>
          <w:sz w:val="22"/>
          <w:szCs w:val="22"/>
        </w:rPr>
        <w:t xml:space="preserve"> operation</w:t>
      </w:r>
      <w:r w:rsidRPr="00A26DEA">
        <w:rPr>
          <w:sz w:val="22"/>
          <w:szCs w:val="22"/>
        </w:rPr>
        <w:t>, even though combined cycle configurations are intended for baseload operations.  Therefore, there does need to be an accommodation for operation at loads less than 100%.</w:t>
      </w:r>
      <w:r w:rsidR="006E6341" w:rsidRPr="006E6341">
        <w:rPr>
          <w:sz w:val="22"/>
          <w:szCs w:val="22"/>
        </w:rPr>
        <w:t xml:space="preserve"> </w:t>
      </w:r>
    </w:p>
    <w:p w:rsidR="00A26DEA" w:rsidRPr="00A26DEA" w:rsidRDefault="006E6341" w:rsidP="00A26DEA">
      <w:pPr>
        <w:widowControl w:val="0"/>
        <w:spacing w:before="120" w:after="120"/>
        <w:rPr>
          <w:sz w:val="22"/>
          <w:szCs w:val="22"/>
        </w:rPr>
      </w:pPr>
      <w:r>
        <w:rPr>
          <w:sz w:val="22"/>
          <w:szCs w:val="22"/>
        </w:rPr>
        <w:t>As proposed by the applicant, t</w:t>
      </w:r>
      <w:r w:rsidR="00A26DEA" w:rsidRPr="00A26DEA">
        <w:rPr>
          <w:sz w:val="22"/>
          <w:szCs w:val="22"/>
        </w:rPr>
        <w:t xml:space="preserve">he Department will set a GHG BACT limit for periods of natural gas usage of </w:t>
      </w:r>
      <w:r w:rsidR="00A26DEA" w:rsidRPr="00A26DEA">
        <w:rPr>
          <w:sz w:val="22"/>
          <w:szCs w:val="22"/>
          <w:u w:val="single"/>
        </w:rPr>
        <w:t>8</w:t>
      </w:r>
      <w:r w:rsidR="00A22F78">
        <w:rPr>
          <w:sz w:val="22"/>
          <w:szCs w:val="22"/>
          <w:u w:val="single"/>
        </w:rPr>
        <w:t>75</w:t>
      </w:r>
      <w:r w:rsidR="00A26DEA" w:rsidRPr="00A26DEA">
        <w:rPr>
          <w:sz w:val="22"/>
          <w:szCs w:val="22"/>
          <w:u w:val="single"/>
        </w:rPr>
        <w:t xml:space="preserve"> lb CO</w:t>
      </w:r>
      <w:r w:rsidR="00A26DEA" w:rsidRPr="00A26DEA">
        <w:rPr>
          <w:sz w:val="22"/>
          <w:szCs w:val="22"/>
          <w:u w:val="single"/>
          <w:vertAlign w:val="subscript"/>
        </w:rPr>
        <w:t>2</w:t>
      </w:r>
      <w:r w:rsidR="00A26DEA" w:rsidRPr="00A26DEA">
        <w:rPr>
          <w:sz w:val="22"/>
          <w:szCs w:val="22"/>
          <w:u w:val="single"/>
        </w:rPr>
        <w:t xml:space="preserve"> per MWh, gross</w:t>
      </w:r>
      <w:r w:rsidR="00A26DEA" w:rsidRPr="00A26DEA">
        <w:rPr>
          <w:sz w:val="22"/>
          <w:szCs w:val="22"/>
        </w:rPr>
        <w:t>, excluding periods of transient operations, such as startups, shutdowns, etc.</w:t>
      </w:r>
      <w:r w:rsidR="00EA687E">
        <w:rPr>
          <w:sz w:val="22"/>
          <w:szCs w:val="22"/>
        </w:rPr>
        <w:t xml:space="preserve">  This limit is approximately 16</w:t>
      </w:r>
      <w:r w:rsidR="00A26DEA" w:rsidRPr="00A26DEA">
        <w:rPr>
          <w:sz w:val="22"/>
          <w:szCs w:val="22"/>
        </w:rPr>
        <w:t>% higher than the unit’</w:t>
      </w:r>
      <w:r>
        <w:rPr>
          <w:sz w:val="22"/>
          <w:szCs w:val="22"/>
        </w:rPr>
        <w:t>s expected “new and clean” base</w:t>
      </w:r>
      <w:r w:rsidR="00A26DEA" w:rsidRPr="00A26DEA">
        <w:rPr>
          <w:sz w:val="22"/>
          <w:szCs w:val="22"/>
        </w:rPr>
        <w:t xml:space="preserve">load emissions rate.  During transient modes of operation such as startups or shutdowns of the entire combined-cycle unit, startups or shutdowns, </w:t>
      </w:r>
      <w:r w:rsidR="00F62677">
        <w:rPr>
          <w:sz w:val="22"/>
          <w:szCs w:val="22"/>
        </w:rPr>
        <w:t>SCR tuning,</w:t>
      </w:r>
      <w:r w:rsidR="00A26DEA" w:rsidRPr="00A26DEA">
        <w:rPr>
          <w:sz w:val="22"/>
          <w:szCs w:val="22"/>
        </w:rPr>
        <w:t xml:space="preserve"> DLN tuning, </w:t>
      </w:r>
      <w:r w:rsidR="00F62677">
        <w:rPr>
          <w:sz w:val="22"/>
          <w:szCs w:val="22"/>
        </w:rPr>
        <w:t xml:space="preserve">and malfunctions, </w:t>
      </w:r>
      <w:r w:rsidR="00A26DEA" w:rsidRPr="00A26DEA">
        <w:rPr>
          <w:sz w:val="22"/>
          <w:szCs w:val="22"/>
        </w:rPr>
        <w:t>the Department will adopt as a “Secondary BACT” the limits in NSPS Subpart TTTT.</w:t>
      </w:r>
    </w:p>
    <w:p w:rsidR="00A26DEA" w:rsidRPr="00A26DEA" w:rsidRDefault="00A26DEA" w:rsidP="00A26DEA">
      <w:pPr>
        <w:widowControl w:val="0"/>
        <w:spacing w:before="120" w:after="120"/>
        <w:rPr>
          <w:sz w:val="22"/>
          <w:szCs w:val="22"/>
        </w:rPr>
      </w:pPr>
      <w:r w:rsidRPr="00A26DEA">
        <w:rPr>
          <w:sz w:val="22"/>
          <w:szCs w:val="22"/>
        </w:rPr>
        <w:t xml:space="preserve">Additionally, the Department recognizes that the climatic and environmental impacts of GHGs are generally analogous to a “cumulative” framework, rather than an “acute” one.  The Department plans to set the averaging period for GHG BACT for </w:t>
      </w:r>
      <w:r w:rsidR="00DF03C2">
        <w:rPr>
          <w:sz w:val="22"/>
          <w:szCs w:val="22"/>
        </w:rPr>
        <w:t>the CTG</w:t>
      </w:r>
      <w:r w:rsidRPr="00A26DEA">
        <w:rPr>
          <w:sz w:val="22"/>
          <w:szCs w:val="22"/>
        </w:rPr>
        <w:t xml:space="preserve"> as a </w:t>
      </w:r>
      <w:r w:rsidRPr="00A26DEA">
        <w:rPr>
          <w:sz w:val="22"/>
          <w:szCs w:val="22"/>
          <w:u w:val="single"/>
        </w:rPr>
        <w:t>12-month rolling average</w:t>
      </w:r>
      <w:r w:rsidRPr="00A26DEA">
        <w:rPr>
          <w:sz w:val="22"/>
          <w:szCs w:val="22"/>
        </w:rPr>
        <w:t>.  This averaging period is consistent with EPA’s NSPS Subpart TTTT limits, which are also on a 12-month rolling average basis.</w:t>
      </w:r>
    </w:p>
    <w:p w:rsidR="00A26DEA" w:rsidRPr="00A26DEA" w:rsidRDefault="00A26DEA" w:rsidP="00A26DEA">
      <w:pPr>
        <w:widowControl w:val="0"/>
        <w:spacing w:before="120" w:after="120"/>
        <w:rPr>
          <w:sz w:val="22"/>
          <w:szCs w:val="22"/>
        </w:rPr>
      </w:pPr>
      <w:r w:rsidRPr="00A26DEA">
        <w:rPr>
          <w:sz w:val="22"/>
          <w:szCs w:val="22"/>
        </w:rPr>
        <w:t xml:space="preserve">The Department and the applicant identified several recent GHG BACT determinations for combined cycle units, issued </w:t>
      </w:r>
      <w:r w:rsidR="00D04DCE">
        <w:rPr>
          <w:sz w:val="22"/>
          <w:szCs w:val="22"/>
        </w:rPr>
        <w:t>within the last 10 years</w:t>
      </w:r>
      <w:r w:rsidRPr="00A26DEA">
        <w:rPr>
          <w:sz w:val="22"/>
          <w:szCs w:val="22"/>
        </w:rPr>
        <w:t xml:space="preserve">.  </w:t>
      </w:r>
      <w:r w:rsidR="00770B0F" w:rsidRPr="00770B0F">
        <w:rPr>
          <w:rFonts w:ascii="Times New Roman Bold" w:hAnsi="Times New Roman Bold"/>
          <w:b/>
          <w:sz w:val="22"/>
          <w:szCs w:val="22"/>
        </w:rPr>
        <w:fldChar w:fldCharType="begin"/>
      </w:r>
      <w:r w:rsidR="00770B0F" w:rsidRPr="00770B0F">
        <w:rPr>
          <w:rFonts w:ascii="Times New Roman Bold" w:hAnsi="Times New Roman Bold"/>
          <w:b/>
          <w:sz w:val="22"/>
          <w:szCs w:val="22"/>
        </w:rPr>
        <w:instrText xml:space="preserve"> REF _Ref513619142 \h </w:instrText>
      </w:r>
      <w:r w:rsidR="00770B0F">
        <w:rPr>
          <w:rFonts w:ascii="Times New Roman Bold" w:hAnsi="Times New Roman Bold"/>
          <w:b/>
          <w:sz w:val="22"/>
          <w:szCs w:val="22"/>
        </w:rPr>
        <w:instrText xml:space="preserve"> \* MERGEFORMAT </w:instrText>
      </w:r>
      <w:r w:rsidR="00770B0F" w:rsidRPr="00770B0F">
        <w:rPr>
          <w:rFonts w:ascii="Times New Roman Bold" w:hAnsi="Times New Roman Bold"/>
          <w:b/>
          <w:sz w:val="22"/>
          <w:szCs w:val="22"/>
        </w:rPr>
      </w:r>
      <w:r w:rsidR="00770B0F" w:rsidRPr="00770B0F">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12</w:t>
      </w:r>
      <w:r w:rsidR="00770B0F" w:rsidRPr="00770B0F">
        <w:rPr>
          <w:rFonts w:ascii="Times New Roman Bold" w:hAnsi="Times New Roman Bold"/>
          <w:b/>
          <w:sz w:val="22"/>
          <w:szCs w:val="22"/>
        </w:rPr>
        <w:fldChar w:fldCharType="end"/>
      </w:r>
      <w:r w:rsidR="00770B0F">
        <w:rPr>
          <w:sz w:val="22"/>
          <w:szCs w:val="22"/>
        </w:rPr>
        <w:t xml:space="preserve"> </w:t>
      </w:r>
      <w:r w:rsidR="003A4371">
        <w:rPr>
          <w:sz w:val="22"/>
          <w:szCs w:val="22"/>
        </w:rPr>
        <w:t>represents the Department’s results in review</w:t>
      </w:r>
      <w:r w:rsidR="0079288B">
        <w:rPr>
          <w:sz w:val="22"/>
          <w:szCs w:val="22"/>
        </w:rPr>
        <w:t>ing</w:t>
      </w:r>
      <w:r w:rsidR="003A4371">
        <w:rPr>
          <w:sz w:val="22"/>
          <w:szCs w:val="22"/>
        </w:rPr>
        <w:t xml:space="preserve"> the RBLC.  </w:t>
      </w:r>
      <w:r w:rsidRPr="00A26DEA">
        <w:rPr>
          <w:sz w:val="22"/>
          <w:szCs w:val="22"/>
        </w:rPr>
        <w:t>Th</w:t>
      </w:r>
      <w:r w:rsidR="00001158">
        <w:rPr>
          <w:sz w:val="22"/>
          <w:szCs w:val="22"/>
        </w:rPr>
        <w:t>e</w:t>
      </w:r>
      <w:r w:rsidR="00C34A5B">
        <w:rPr>
          <w:sz w:val="22"/>
          <w:szCs w:val="22"/>
        </w:rPr>
        <w:t xml:space="preserve"> results </w:t>
      </w:r>
      <w:r w:rsidRPr="00A26DEA">
        <w:rPr>
          <w:sz w:val="22"/>
          <w:szCs w:val="22"/>
        </w:rPr>
        <w:t xml:space="preserve">ranged from </w:t>
      </w:r>
      <w:r w:rsidR="00C34A5B">
        <w:rPr>
          <w:sz w:val="22"/>
          <w:szCs w:val="22"/>
        </w:rPr>
        <w:t>840</w:t>
      </w:r>
      <w:r w:rsidRPr="00A26DEA">
        <w:rPr>
          <w:sz w:val="22"/>
          <w:szCs w:val="22"/>
        </w:rPr>
        <w:t xml:space="preserve"> lb/MWh to </w:t>
      </w:r>
      <w:r w:rsidR="00C34A5B">
        <w:rPr>
          <w:sz w:val="22"/>
          <w:szCs w:val="22"/>
        </w:rPr>
        <w:t>1,069</w:t>
      </w:r>
      <w:r w:rsidRPr="00A26DEA">
        <w:rPr>
          <w:sz w:val="22"/>
          <w:szCs w:val="22"/>
        </w:rPr>
        <w:t xml:space="preserve"> lb/MWh, </w:t>
      </w:r>
      <w:r w:rsidR="00C34A5B">
        <w:rPr>
          <w:sz w:val="22"/>
          <w:szCs w:val="22"/>
        </w:rPr>
        <w:t>however a few of these</w:t>
      </w:r>
      <w:r w:rsidRPr="00A26DEA">
        <w:rPr>
          <w:sz w:val="22"/>
          <w:szCs w:val="22"/>
        </w:rPr>
        <w:t xml:space="preserve"> </w:t>
      </w:r>
      <w:r w:rsidR="00C34A5B">
        <w:rPr>
          <w:sz w:val="22"/>
          <w:szCs w:val="22"/>
        </w:rPr>
        <w:t>projects</w:t>
      </w:r>
      <w:r w:rsidRPr="00A26DEA">
        <w:rPr>
          <w:sz w:val="22"/>
          <w:szCs w:val="22"/>
        </w:rPr>
        <w:t xml:space="preserve"> have been for less efficient turbine models than the 7HA.02.</w:t>
      </w:r>
    </w:p>
    <w:p w:rsidR="0032601F" w:rsidRDefault="00770B0F" w:rsidP="00770B0F">
      <w:pPr>
        <w:pStyle w:val="Caption"/>
        <w:spacing w:before="0"/>
        <w:jc w:val="center"/>
      </w:pPr>
      <w:bookmarkStart w:id="49" w:name="_Ref513619142"/>
      <w:r>
        <w:t xml:space="preserve">Table </w:t>
      </w:r>
      <w:fldSimple w:instr=" SEQ Table \* ARABIC ">
        <w:r w:rsidR="007204D0">
          <w:rPr>
            <w:noProof/>
          </w:rPr>
          <w:t>12</w:t>
        </w:r>
      </w:fldSimple>
      <w:bookmarkEnd w:id="49"/>
      <w:r>
        <w:t xml:space="preserve"> - </w:t>
      </w:r>
      <w:r w:rsidR="0032601F" w:rsidRPr="00A0467F">
        <w:t>RBLC BACT Determinations for GHG for Natural Gas-Fired Combustion Turbines</w:t>
      </w:r>
      <w:r w:rsidR="0032601F">
        <w:t>.</w:t>
      </w:r>
    </w:p>
    <w:tbl>
      <w:tblPr>
        <w:tblStyle w:val="TableGrid"/>
        <w:tblW w:w="0" w:type="auto"/>
        <w:tblInd w:w="108" w:type="dxa"/>
        <w:tblLook w:val="04A0" w:firstRow="1" w:lastRow="0" w:firstColumn="1" w:lastColumn="0" w:noHBand="0" w:noVBand="1"/>
      </w:tblPr>
      <w:tblGrid>
        <w:gridCol w:w="1161"/>
        <w:gridCol w:w="1205"/>
        <w:gridCol w:w="1399"/>
        <w:gridCol w:w="1486"/>
        <w:gridCol w:w="1433"/>
        <w:gridCol w:w="1433"/>
        <w:gridCol w:w="1636"/>
      </w:tblGrid>
      <w:tr w:rsidR="0032601F" w:rsidRPr="00E8321C" w:rsidTr="001A3B5B">
        <w:trPr>
          <w:trHeight w:val="494"/>
        </w:trPr>
        <w:tc>
          <w:tcPr>
            <w:tcW w:w="1161" w:type="dxa"/>
            <w:tcBorders>
              <w:top w:val="single" w:sz="12" w:space="0" w:color="auto"/>
              <w:left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Pr>
                <w:b/>
                <w:sz w:val="20"/>
              </w:rPr>
              <w:t>RBLC ID</w:t>
            </w:r>
          </w:p>
        </w:tc>
        <w:tc>
          <w:tcPr>
            <w:tcW w:w="1205" w:type="dxa"/>
            <w:tcBorders>
              <w:top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Date</w:t>
            </w:r>
          </w:p>
        </w:tc>
        <w:tc>
          <w:tcPr>
            <w:tcW w:w="1399" w:type="dxa"/>
            <w:tcBorders>
              <w:top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Source Type</w:t>
            </w:r>
          </w:p>
        </w:tc>
        <w:tc>
          <w:tcPr>
            <w:tcW w:w="1486" w:type="dxa"/>
            <w:tcBorders>
              <w:top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Heat Input or MW Rating</w:t>
            </w:r>
          </w:p>
        </w:tc>
        <w:tc>
          <w:tcPr>
            <w:tcW w:w="1433" w:type="dxa"/>
            <w:tcBorders>
              <w:top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Pollutant Limit</w:t>
            </w:r>
            <w:r>
              <w:rPr>
                <w:b/>
                <w:sz w:val="20"/>
              </w:rPr>
              <w:t xml:space="preserve"> </w:t>
            </w:r>
            <w:r w:rsidRPr="000E68D7">
              <w:rPr>
                <w:b/>
                <w:sz w:val="24"/>
                <w:szCs w:val="24"/>
                <w:vertAlign w:val="superscript"/>
              </w:rPr>
              <w:fldChar w:fldCharType="begin"/>
            </w:r>
            <w:r w:rsidRPr="000E68D7">
              <w:rPr>
                <w:b/>
                <w:sz w:val="20"/>
                <w:vertAlign w:val="superscript"/>
              </w:rPr>
              <w:instrText xml:space="preserve"> REF _Ref511122288 \r \h </w:instrText>
            </w:r>
            <w:r w:rsidRPr="000E68D7">
              <w:rPr>
                <w:b/>
                <w:sz w:val="24"/>
                <w:szCs w:val="24"/>
                <w:vertAlign w:val="superscript"/>
              </w:rPr>
              <w:instrText xml:space="preserve"> \* MERGEFORMAT </w:instrText>
            </w:r>
            <w:r w:rsidRPr="000E68D7">
              <w:rPr>
                <w:b/>
                <w:sz w:val="24"/>
                <w:szCs w:val="24"/>
                <w:vertAlign w:val="superscript"/>
              </w:rPr>
            </w:r>
            <w:r w:rsidRPr="000E68D7">
              <w:rPr>
                <w:b/>
                <w:sz w:val="24"/>
                <w:szCs w:val="24"/>
                <w:vertAlign w:val="superscript"/>
              </w:rPr>
              <w:fldChar w:fldCharType="separate"/>
            </w:r>
            <w:r w:rsidR="003E3FA4">
              <w:rPr>
                <w:b/>
                <w:sz w:val="20"/>
                <w:vertAlign w:val="superscript"/>
              </w:rPr>
              <w:t>a</w:t>
            </w:r>
            <w:r w:rsidRPr="000E68D7">
              <w:rPr>
                <w:b/>
                <w:sz w:val="24"/>
                <w:szCs w:val="24"/>
                <w:vertAlign w:val="superscript"/>
              </w:rPr>
              <w:fldChar w:fldCharType="end"/>
            </w:r>
          </w:p>
        </w:tc>
        <w:tc>
          <w:tcPr>
            <w:tcW w:w="1433" w:type="dxa"/>
            <w:tcBorders>
              <w:top w:val="single" w:sz="12" w:space="0" w:color="auto"/>
              <w:bottom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Averaging Period</w:t>
            </w:r>
          </w:p>
        </w:tc>
        <w:tc>
          <w:tcPr>
            <w:tcW w:w="1633" w:type="dxa"/>
            <w:tcBorders>
              <w:top w:val="single" w:sz="12" w:space="0" w:color="auto"/>
              <w:bottom w:val="single" w:sz="12" w:space="0" w:color="auto"/>
              <w:right w:val="single" w:sz="12" w:space="0" w:color="auto"/>
            </w:tcBorders>
            <w:shd w:val="clear" w:color="auto" w:fill="B8CCE4" w:themeFill="accent1" w:themeFillTint="66"/>
            <w:vAlign w:val="center"/>
          </w:tcPr>
          <w:p w:rsidR="0032601F" w:rsidRPr="00E8321C" w:rsidRDefault="0032601F" w:rsidP="008F0AB0">
            <w:pPr>
              <w:pStyle w:val="BodyText2"/>
              <w:widowControl w:val="0"/>
              <w:numPr>
                <w:ilvl w:val="0"/>
                <w:numId w:val="0"/>
              </w:numPr>
              <w:spacing w:after="0"/>
              <w:jc w:val="center"/>
              <w:rPr>
                <w:b/>
                <w:sz w:val="20"/>
              </w:rPr>
            </w:pPr>
            <w:r w:rsidRPr="00E8321C">
              <w:rPr>
                <w:b/>
                <w:sz w:val="20"/>
              </w:rPr>
              <w:t>Control Method</w:t>
            </w:r>
          </w:p>
        </w:tc>
      </w:tr>
      <w:tr w:rsidR="0032601F" w:rsidRPr="001B6505" w:rsidTr="001A3B5B">
        <w:trPr>
          <w:trHeight w:val="478"/>
        </w:trPr>
        <w:tc>
          <w:tcPr>
            <w:tcW w:w="1161" w:type="dxa"/>
            <w:tcBorders>
              <w:left w:val="single" w:sz="12"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FL-0356</w:t>
            </w:r>
          </w:p>
        </w:tc>
        <w:tc>
          <w:tcPr>
            <w:tcW w:w="1205" w:type="dxa"/>
            <w:vAlign w:val="center"/>
          </w:tcPr>
          <w:p w:rsidR="0032601F" w:rsidRPr="00E8321C" w:rsidRDefault="0032601F" w:rsidP="008F0AB0">
            <w:pPr>
              <w:pStyle w:val="BodyText2"/>
              <w:widowControl w:val="0"/>
              <w:numPr>
                <w:ilvl w:val="0"/>
                <w:numId w:val="0"/>
              </w:numPr>
              <w:spacing w:after="0"/>
              <w:jc w:val="center"/>
              <w:rPr>
                <w:sz w:val="20"/>
              </w:rPr>
            </w:pPr>
            <w:r>
              <w:rPr>
                <w:sz w:val="20"/>
              </w:rPr>
              <w:t>03/09/2016</w:t>
            </w:r>
          </w:p>
        </w:tc>
        <w:tc>
          <w:tcPr>
            <w:tcW w:w="1399" w:type="dxa"/>
            <w:vAlign w:val="center"/>
          </w:tcPr>
          <w:p w:rsidR="0032601F" w:rsidRPr="00E8321C" w:rsidRDefault="0032601F" w:rsidP="008F0AB0">
            <w:pPr>
              <w:pStyle w:val="BodyText2"/>
              <w:widowControl w:val="0"/>
              <w:numPr>
                <w:ilvl w:val="0"/>
                <w:numId w:val="0"/>
              </w:numPr>
              <w:spacing w:after="0"/>
              <w:jc w:val="center"/>
              <w:rPr>
                <w:sz w:val="20"/>
              </w:rPr>
            </w:pPr>
            <w:r w:rsidRPr="00E8321C">
              <w:rPr>
                <w:sz w:val="20"/>
              </w:rPr>
              <w:t>3-on-1 CCCT with HRSG</w:t>
            </w:r>
          </w:p>
        </w:tc>
        <w:tc>
          <w:tcPr>
            <w:tcW w:w="1486" w:type="dxa"/>
            <w:vAlign w:val="center"/>
          </w:tcPr>
          <w:p w:rsidR="0032601F" w:rsidRPr="00E8321C" w:rsidRDefault="0032601F" w:rsidP="008F0AB0">
            <w:pPr>
              <w:pStyle w:val="BodyText2"/>
              <w:widowControl w:val="0"/>
              <w:numPr>
                <w:ilvl w:val="0"/>
                <w:numId w:val="0"/>
              </w:numPr>
              <w:spacing w:after="0"/>
              <w:jc w:val="center"/>
              <w:rPr>
                <w:sz w:val="20"/>
              </w:rPr>
            </w:pPr>
            <w:r w:rsidRPr="00E8321C">
              <w:rPr>
                <w:sz w:val="20"/>
              </w:rPr>
              <w:t>3,096 MMBtu/hour</w:t>
            </w:r>
          </w:p>
        </w:tc>
        <w:tc>
          <w:tcPr>
            <w:tcW w:w="1433" w:type="dxa"/>
            <w:vMerge w:val="restart"/>
            <w:vAlign w:val="center"/>
          </w:tcPr>
          <w:p w:rsidR="0032601F" w:rsidRPr="00E8321C" w:rsidRDefault="0032601F" w:rsidP="008F0AB0">
            <w:pPr>
              <w:pStyle w:val="BodyText2"/>
              <w:widowControl w:val="0"/>
              <w:numPr>
                <w:ilvl w:val="0"/>
                <w:numId w:val="0"/>
              </w:numPr>
              <w:spacing w:after="0"/>
              <w:jc w:val="center"/>
              <w:rPr>
                <w:sz w:val="20"/>
              </w:rPr>
            </w:pPr>
            <w:r>
              <w:rPr>
                <w:sz w:val="20"/>
              </w:rPr>
              <w:t>850 lb/MWH</w:t>
            </w:r>
          </w:p>
        </w:tc>
        <w:tc>
          <w:tcPr>
            <w:tcW w:w="1433" w:type="dxa"/>
            <w:vMerge w:val="restart"/>
            <w:vAlign w:val="center"/>
          </w:tcPr>
          <w:p w:rsidR="0032601F" w:rsidRPr="00E8321C" w:rsidRDefault="0032601F" w:rsidP="008F0AB0">
            <w:pPr>
              <w:pStyle w:val="BodyText2"/>
              <w:widowControl w:val="0"/>
              <w:numPr>
                <w:ilvl w:val="0"/>
                <w:numId w:val="0"/>
              </w:numPr>
              <w:spacing w:after="0"/>
              <w:jc w:val="center"/>
              <w:rPr>
                <w:sz w:val="20"/>
              </w:rPr>
            </w:pPr>
            <w:r>
              <w:rPr>
                <w:sz w:val="20"/>
              </w:rPr>
              <w:t>12-month rolling average</w:t>
            </w:r>
          </w:p>
        </w:tc>
        <w:tc>
          <w:tcPr>
            <w:tcW w:w="1633" w:type="dxa"/>
            <w:vMerge w:val="restart"/>
            <w:tcBorders>
              <w:right w:val="single" w:sz="12" w:space="0" w:color="auto"/>
            </w:tcBorders>
            <w:vAlign w:val="center"/>
          </w:tcPr>
          <w:p w:rsidR="0032601F" w:rsidRPr="001B6505" w:rsidRDefault="0032601F" w:rsidP="008F0AB0">
            <w:pPr>
              <w:pStyle w:val="BodyText2"/>
              <w:widowControl w:val="0"/>
              <w:numPr>
                <w:ilvl w:val="0"/>
                <w:numId w:val="0"/>
              </w:numPr>
              <w:spacing w:after="0"/>
              <w:jc w:val="center"/>
              <w:rPr>
                <w:sz w:val="20"/>
              </w:rPr>
            </w:pPr>
            <w:r w:rsidRPr="001B6505">
              <w:rPr>
                <w:sz w:val="20"/>
              </w:rPr>
              <w:t>Clean fuels and energy efficiency</w:t>
            </w:r>
          </w:p>
        </w:tc>
      </w:tr>
      <w:tr w:rsidR="0032601F" w:rsidRPr="001B6505" w:rsidTr="001A3B5B">
        <w:trPr>
          <w:trHeight w:val="494"/>
        </w:trPr>
        <w:tc>
          <w:tcPr>
            <w:tcW w:w="1161" w:type="dxa"/>
            <w:tcBorders>
              <w:left w:val="single" w:sz="12"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FL-0363</w:t>
            </w:r>
          </w:p>
        </w:tc>
        <w:tc>
          <w:tcPr>
            <w:tcW w:w="1205" w:type="dxa"/>
            <w:vAlign w:val="center"/>
          </w:tcPr>
          <w:p w:rsidR="0032601F" w:rsidRPr="00E8321C" w:rsidRDefault="0032601F" w:rsidP="008F0AB0">
            <w:pPr>
              <w:pStyle w:val="BodyText2"/>
              <w:widowControl w:val="0"/>
              <w:numPr>
                <w:ilvl w:val="0"/>
                <w:numId w:val="0"/>
              </w:numPr>
              <w:spacing w:after="0"/>
              <w:jc w:val="center"/>
              <w:rPr>
                <w:sz w:val="20"/>
              </w:rPr>
            </w:pPr>
            <w:r>
              <w:rPr>
                <w:sz w:val="20"/>
              </w:rPr>
              <w:t>12/04/2017</w:t>
            </w:r>
          </w:p>
        </w:tc>
        <w:tc>
          <w:tcPr>
            <w:tcW w:w="1399" w:type="dxa"/>
            <w:vAlign w:val="center"/>
          </w:tcPr>
          <w:p w:rsidR="0032601F" w:rsidRPr="00E8321C" w:rsidRDefault="0032601F" w:rsidP="008F0AB0">
            <w:pPr>
              <w:pStyle w:val="BodyText2"/>
              <w:widowControl w:val="0"/>
              <w:numPr>
                <w:ilvl w:val="0"/>
                <w:numId w:val="0"/>
              </w:numPr>
              <w:spacing w:after="0"/>
              <w:jc w:val="center"/>
              <w:rPr>
                <w:sz w:val="20"/>
              </w:rPr>
            </w:pPr>
            <w:r>
              <w:rPr>
                <w:sz w:val="20"/>
              </w:rPr>
              <w:t>2-on-1 CCCT with HRSG</w:t>
            </w:r>
          </w:p>
        </w:tc>
        <w:tc>
          <w:tcPr>
            <w:tcW w:w="1486" w:type="dxa"/>
            <w:vAlign w:val="center"/>
          </w:tcPr>
          <w:p w:rsidR="0032601F" w:rsidRPr="00E8321C" w:rsidRDefault="0032601F" w:rsidP="008F0AB0">
            <w:pPr>
              <w:pStyle w:val="BodyText2"/>
              <w:widowControl w:val="0"/>
              <w:numPr>
                <w:ilvl w:val="0"/>
                <w:numId w:val="0"/>
              </w:numPr>
              <w:spacing w:after="0"/>
              <w:jc w:val="center"/>
              <w:rPr>
                <w:sz w:val="20"/>
              </w:rPr>
            </w:pPr>
            <w:r>
              <w:rPr>
                <w:sz w:val="20"/>
              </w:rPr>
              <w:t>1,200 MW</w:t>
            </w:r>
          </w:p>
        </w:tc>
        <w:tc>
          <w:tcPr>
            <w:tcW w:w="1433" w:type="dxa"/>
            <w:vMerge/>
            <w:vAlign w:val="center"/>
          </w:tcPr>
          <w:p w:rsidR="0032601F" w:rsidRDefault="0032601F" w:rsidP="008F0AB0">
            <w:pPr>
              <w:pStyle w:val="BodyText2"/>
              <w:widowControl w:val="0"/>
              <w:numPr>
                <w:ilvl w:val="0"/>
                <w:numId w:val="0"/>
              </w:numPr>
              <w:spacing w:after="0"/>
              <w:jc w:val="center"/>
              <w:rPr>
                <w:sz w:val="20"/>
              </w:rPr>
            </w:pPr>
          </w:p>
        </w:tc>
        <w:tc>
          <w:tcPr>
            <w:tcW w:w="1433" w:type="dxa"/>
            <w:vMerge/>
            <w:vAlign w:val="center"/>
          </w:tcPr>
          <w:p w:rsidR="0032601F" w:rsidRDefault="0032601F" w:rsidP="008F0AB0">
            <w:pPr>
              <w:pStyle w:val="BodyText2"/>
              <w:widowControl w:val="0"/>
              <w:numPr>
                <w:ilvl w:val="0"/>
                <w:numId w:val="0"/>
              </w:numPr>
              <w:spacing w:after="0"/>
              <w:jc w:val="center"/>
              <w:rPr>
                <w:sz w:val="20"/>
              </w:rPr>
            </w:pPr>
          </w:p>
        </w:tc>
        <w:tc>
          <w:tcPr>
            <w:tcW w:w="1633" w:type="dxa"/>
            <w:vMerge/>
            <w:tcBorders>
              <w:right w:val="single" w:sz="12" w:space="0" w:color="auto"/>
            </w:tcBorders>
            <w:vAlign w:val="center"/>
          </w:tcPr>
          <w:p w:rsidR="0032601F" w:rsidRPr="001B6505" w:rsidRDefault="0032601F" w:rsidP="008F0AB0">
            <w:pPr>
              <w:pStyle w:val="BodyText2"/>
              <w:widowControl w:val="0"/>
              <w:numPr>
                <w:ilvl w:val="0"/>
                <w:numId w:val="0"/>
              </w:numPr>
              <w:spacing w:after="0"/>
              <w:jc w:val="center"/>
              <w:rPr>
                <w:sz w:val="20"/>
              </w:rPr>
            </w:pPr>
          </w:p>
        </w:tc>
      </w:tr>
      <w:tr w:rsidR="0032601F" w:rsidRPr="001B6505" w:rsidTr="001A3B5B">
        <w:trPr>
          <w:trHeight w:val="972"/>
        </w:trPr>
        <w:tc>
          <w:tcPr>
            <w:tcW w:w="1161" w:type="dxa"/>
            <w:tcBorders>
              <w:left w:val="single" w:sz="12"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NJ-0082</w:t>
            </w:r>
          </w:p>
        </w:tc>
        <w:tc>
          <w:tcPr>
            <w:tcW w:w="1205" w:type="dxa"/>
            <w:vAlign w:val="center"/>
          </w:tcPr>
          <w:p w:rsidR="0032601F" w:rsidRPr="00E8321C" w:rsidRDefault="0032601F" w:rsidP="008F0AB0">
            <w:pPr>
              <w:pStyle w:val="BodyText2"/>
              <w:widowControl w:val="0"/>
              <w:numPr>
                <w:ilvl w:val="0"/>
                <w:numId w:val="0"/>
              </w:numPr>
              <w:spacing w:after="0"/>
              <w:jc w:val="center"/>
              <w:rPr>
                <w:sz w:val="20"/>
              </w:rPr>
            </w:pPr>
            <w:r>
              <w:rPr>
                <w:sz w:val="20"/>
              </w:rPr>
              <w:t>07/18/2014</w:t>
            </w:r>
          </w:p>
        </w:tc>
        <w:tc>
          <w:tcPr>
            <w:tcW w:w="1399" w:type="dxa"/>
            <w:vAlign w:val="center"/>
          </w:tcPr>
          <w:p w:rsidR="0032601F" w:rsidRPr="00E8321C" w:rsidRDefault="0032601F" w:rsidP="008F0AB0">
            <w:pPr>
              <w:pStyle w:val="BodyText2"/>
              <w:widowControl w:val="0"/>
              <w:numPr>
                <w:ilvl w:val="0"/>
                <w:numId w:val="0"/>
              </w:numPr>
              <w:spacing w:after="0"/>
              <w:jc w:val="center"/>
              <w:rPr>
                <w:sz w:val="20"/>
              </w:rPr>
            </w:pPr>
            <w:r>
              <w:rPr>
                <w:sz w:val="20"/>
              </w:rPr>
              <w:t>2-on-1 CCCT with HRSG</w:t>
            </w:r>
          </w:p>
        </w:tc>
        <w:tc>
          <w:tcPr>
            <w:tcW w:w="1486" w:type="dxa"/>
            <w:vAlign w:val="center"/>
          </w:tcPr>
          <w:p w:rsidR="0032601F" w:rsidRPr="00E8321C" w:rsidRDefault="0032601F" w:rsidP="008F0AB0">
            <w:pPr>
              <w:pStyle w:val="BodyText2"/>
              <w:widowControl w:val="0"/>
              <w:numPr>
                <w:ilvl w:val="0"/>
                <w:numId w:val="0"/>
              </w:numPr>
              <w:spacing w:after="0"/>
              <w:jc w:val="center"/>
              <w:rPr>
                <w:sz w:val="20"/>
              </w:rPr>
            </w:pPr>
            <w:r>
              <w:rPr>
                <w:sz w:val="20"/>
              </w:rPr>
              <w:t>2,308 MMBtu/hour</w:t>
            </w:r>
          </w:p>
        </w:tc>
        <w:tc>
          <w:tcPr>
            <w:tcW w:w="1433" w:type="dxa"/>
            <w:vAlign w:val="center"/>
          </w:tcPr>
          <w:p w:rsidR="0032601F" w:rsidRPr="00E8321C" w:rsidRDefault="0032601F" w:rsidP="008F0AB0">
            <w:pPr>
              <w:pStyle w:val="BodyText2"/>
              <w:widowControl w:val="0"/>
              <w:numPr>
                <w:ilvl w:val="0"/>
                <w:numId w:val="0"/>
              </w:numPr>
              <w:spacing w:after="0"/>
              <w:jc w:val="center"/>
              <w:rPr>
                <w:sz w:val="20"/>
              </w:rPr>
            </w:pPr>
            <w:r>
              <w:rPr>
                <w:sz w:val="20"/>
              </w:rPr>
              <w:t>947 lb/MWH</w:t>
            </w:r>
          </w:p>
        </w:tc>
        <w:tc>
          <w:tcPr>
            <w:tcW w:w="1433" w:type="dxa"/>
            <w:vAlign w:val="center"/>
          </w:tcPr>
          <w:p w:rsidR="0032601F" w:rsidRPr="00E8321C" w:rsidRDefault="0032601F" w:rsidP="008F0AB0">
            <w:pPr>
              <w:pStyle w:val="BodyText2"/>
              <w:widowControl w:val="0"/>
              <w:numPr>
                <w:ilvl w:val="0"/>
                <w:numId w:val="0"/>
              </w:numPr>
              <w:spacing w:after="0"/>
              <w:jc w:val="center"/>
              <w:rPr>
                <w:sz w:val="20"/>
              </w:rPr>
            </w:pPr>
            <w:r>
              <w:rPr>
                <w:sz w:val="20"/>
              </w:rPr>
              <w:t>12-month consecutive period, rolled monthly</w:t>
            </w:r>
          </w:p>
        </w:tc>
        <w:tc>
          <w:tcPr>
            <w:tcW w:w="1633" w:type="dxa"/>
            <w:tcBorders>
              <w:right w:val="single" w:sz="12" w:space="0" w:color="auto"/>
            </w:tcBorders>
            <w:vAlign w:val="center"/>
          </w:tcPr>
          <w:p w:rsidR="0032601F" w:rsidRPr="001B6505" w:rsidRDefault="0032601F" w:rsidP="008F0AB0">
            <w:pPr>
              <w:pStyle w:val="BodyText2"/>
              <w:widowControl w:val="0"/>
              <w:numPr>
                <w:ilvl w:val="0"/>
                <w:numId w:val="0"/>
              </w:numPr>
              <w:spacing w:after="0"/>
              <w:jc w:val="center"/>
              <w:rPr>
                <w:sz w:val="20"/>
              </w:rPr>
            </w:pPr>
            <w:r w:rsidRPr="001B6505">
              <w:rPr>
                <w:sz w:val="20"/>
              </w:rPr>
              <w:t>Clean fuels and energy efficiency</w:t>
            </w:r>
          </w:p>
        </w:tc>
      </w:tr>
      <w:tr w:rsidR="0032601F" w:rsidRPr="001B6505" w:rsidTr="001A3B5B">
        <w:trPr>
          <w:trHeight w:val="478"/>
        </w:trPr>
        <w:tc>
          <w:tcPr>
            <w:tcW w:w="1161" w:type="dxa"/>
            <w:tcBorders>
              <w:left w:val="single" w:sz="12"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OH-0352</w:t>
            </w:r>
          </w:p>
        </w:tc>
        <w:tc>
          <w:tcPr>
            <w:tcW w:w="1205" w:type="dxa"/>
            <w:vAlign w:val="center"/>
          </w:tcPr>
          <w:p w:rsidR="0032601F" w:rsidRPr="00E8321C" w:rsidRDefault="0032601F" w:rsidP="008F0AB0">
            <w:pPr>
              <w:pStyle w:val="BodyText2"/>
              <w:widowControl w:val="0"/>
              <w:numPr>
                <w:ilvl w:val="0"/>
                <w:numId w:val="0"/>
              </w:numPr>
              <w:spacing w:after="0"/>
              <w:jc w:val="center"/>
              <w:rPr>
                <w:sz w:val="20"/>
              </w:rPr>
            </w:pPr>
            <w:r>
              <w:rPr>
                <w:sz w:val="20"/>
              </w:rPr>
              <w:t>06/18/2013</w:t>
            </w:r>
          </w:p>
        </w:tc>
        <w:tc>
          <w:tcPr>
            <w:tcW w:w="1399" w:type="dxa"/>
            <w:vAlign w:val="center"/>
          </w:tcPr>
          <w:p w:rsidR="0032601F" w:rsidRPr="00E8321C" w:rsidRDefault="0032601F" w:rsidP="008F0AB0">
            <w:pPr>
              <w:pStyle w:val="BodyText2"/>
              <w:widowControl w:val="0"/>
              <w:numPr>
                <w:ilvl w:val="0"/>
                <w:numId w:val="0"/>
              </w:numPr>
              <w:spacing w:after="0"/>
              <w:jc w:val="center"/>
              <w:rPr>
                <w:sz w:val="20"/>
              </w:rPr>
            </w:pPr>
            <w:r>
              <w:rPr>
                <w:sz w:val="20"/>
              </w:rPr>
              <w:t>2-on-1 CCCT with HRSG</w:t>
            </w:r>
          </w:p>
        </w:tc>
        <w:tc>
          <w:tcPr>
            <w:tcW w:w="1486" w:type="dxa"/>
            <w:vAlign w:val="center"/>
          </w:tcPr>
          <w:p w:rsidR="0032601F" w:rsidRPr="00E8321C" w:rsidRDefault="0032601F" w:rsidP="008F0AB0">
            <w:pPr>
              <w:pStyle w:val="BodyText2"/>
              <w:widowControl w:val="0"/>
              <w:numPr>
                <w:ilvl w:val="0"/>
                <w:numId w:val="0"/>
              </w:numPr>
              <w:spacing w:after="0"/>
              <w:jc w:val="center"/>
              <w:rPr>
                <w:sz w:val="20"/>
              </w:rPr>
            </w:pPr>
            <w:r>
              <w:rPr>
                <w:sz w:val="20"/>
              </w:rPr>
              <w:t>5,470 MMBtu/hour</w:t>
            </w:r>
          </w:p>
        </w:tc>
        <w:tc>
          <w:tcPr>
            <w:tcW w:w="1433" w:type="dxa"/>
            <w:vAlign w:val="center"/>
          </w:tcPr>
          <w:p w:rsidR="0032601F" w:rsidRPr="00E8321C" w:rsidRDefault="0032601F" w:rsidP="008F0AB0">
            <w:pPr>
              <w:pStyle w:val="BodyText2"/>
              <w:widowControl w:val="0"/>
              <w:numPr>
                <w:ilvl w:val="0"/>
                <w:numId w:val="0"/>
              </w:numPr>
              <w:spacing w:after="0"/>
              <w:jc w:val="center"/>
              <w:rPr>
                <w:sz w:val="20"/>
              </w:rPr>
            </w:pPr>
            <w:r>
              <w:rPr>
                <w:sz w:val="20"/>
              </w:rPr>
              <w:t>840 lb/MWH</w:t>
            </w:r>
          </w:p>
        </w:tc>
        <w:tc>
          <w:tcPr>
            <w:tcW w:w="1433" w:type="dxa"/>
            <w:vAlign w:val="center"/>
          </w:tcPr>
          <w:p w:rsidR="0032601F" w:rsidRPr="00E8321C" w:rsidRDefault="0032601F" w:rsidP="008F0AB0">
            <w:pPr>
              <w:pStyle w:val="BodyText2"/>
              <w:widowControl w:val="0"/>
              <w:numPr>
                <w:ilvl w:val="0"/>
                <w:numId w:val="0"/>
              </w:numPr>
              <w:spacing w:after="0"/>
              <w:jc w:val="center"/>
              <w:rPr>
                <w:sz w:val="20"/>
              </w:rPr>
            </w:pPr>
            <w:r>
              <w:rPr>
                <w:sz w:val="20"/>
              </w:rPr>
              <w:t>12-month rolling average</w:t>
            </w:r>
          </w:p>
        </w:tc>
        <w:tc>
          <w:tcPr>
            <w:tcW w:w="1633" w:type="dxa"/>
            <w:tcBorders>
              <w:right w:val="single" w:sz="12" w:space="0" w:color="auto"/>
            </w:tcBorders>
            <w:vAlign w:val="center"/>
          </w:tcPr>
          <w:p w:rsidR="0032601F" w:rsidRPr="001B6505" w:rsidRDefault="0032601F" w:rsidP="008F0AB0">
            <w:pPr>
              <w:pStyle w:val="BodyText2"/>
              <w:widowControl w:val="0"/>
              <w:numPr>
                <w:ilvl w:val="0"/>
                <w:numId w:val="0"/>
              </w:numPr>
              <w:spacing w:after="0"/>
              <w:jc w:val="center"/>
              <w:rPr>
                <w:sz w:val="20"/>
              </w:rPr>
            </w:pPr>
            <w:r w:rsidRPr="001B6505">
              <w:rPr>
                <w:sz w:val="20"/>
              </w:rPr>
              <w:t>Clean fuels and energy efficiency</w:t>
            </w:r>
          </w:p>
        </w:tc>
      </w:tr>
      <w:tr w:rsidR="0032601F" w:rsidRPr="001B6505" w:rsidTr="001A3B5B">
        <w:trPr>
          <w:trHeight w:val="733"/>
        </w:trPr>
        <w:tc>
          <w:tcPr>
            <w:tcW w:w="1161" w:type="dxa"/>
            <w:tcBorders>
              <w:left w:val="single" w:sz="12" w:space="0" w:color="auto"/>
              <w:bottom w:val="single" w:sz="4"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KY-0106</w:t>
            </w:r>
          </w:p>
        </w:tc>
        <w:tc>
          <w:tcPr>
            <w:tcW w:w="1205" w:type="dxa"/>
            <w:tcBorders>
              <w:bottom w:val="single" w:sz="4"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09/30/2016</w:t>
            </w:r>
          </w:p>
        </w:tc>
        <w:tc>
          <w:tcPr>
            <w:tcW w:w="1399" w:type="dxa"/>
            <w:tcBorders>
              <w:bottom w:val="single" w:sz="4" w:space="0" w:color="auto"/>
            </w:tcBorders>
            <w:vAlign w:val="center"/>
          </w:tcPr>
          <w:p w:rsidR="0032601F" w:rsidRPr="00281E57" w:rsidRDefault="0032601F" w:rsidP="008F0AB0">
            <w:pPr>
              <w:pStyle w:val="BodyText2"/>
              <w:widowControl w:val="0"/>
              <w:numPr>
                <w:ilvl w:val="0"/>
                <w:numId w:val="0"/>
              </w:numPr>
              <w:spacing w:after="0"/>
              <w:jc w:val="center"/>
              <w:rPr>
                <w:sz w:val="20"/>
              </w:rPr>
            </w:pPr>
            <w:r>
              <w:rPr>
                <w:color w:val="000000"/>
                <w:sz w:val="20"/>
              </w:rPr>
              <w:t>3-on-1 and 2-on-1 CCCT with HRSG</w:t>
            </w:r>
          </w:p>
        </w:tc>
        <w:tc>
          <w:tcPr>
            <w:tcW w:w="1486" w:type="dxa"/>
            <w:tcBorders>
              <w:bottom w:val="single" w:sz="4" w:space="0" w:color="auto"/>
            </w:tcBorders>
            <w:vAlign w:val="center"/>
          </w:tcPr>
          <w:p w:rsidR="0032601F" w:rsidRPr="00E8321C" w:rsidRDefault="0032601F" w:rsidP="008F0AB0">
            <w:pPr>
              <w:pStyle w:val="BodyText2"/>
              <w:widowControl w:val="0"/>
              <w:numPr>
                <w:ilvl w:val="0"/>
                <w:numId w:val="0"/>
              </w:numPr>
              <w:spacing w:after="0"/>
              <w:jc w:val="center"/>
              <w:rPr>
                <w:sz w:val="20"/>
              </w:rPr>
            </w:pPr>
            <w:r>
              <w:rPr>
                <w:sz w:val="20"/>
              </w:rPr>
              <w:t>1,700 MW</w:t>
            </w:r>
          </w:p>
        </w:tc>
        <w:tc>
          <w:tcPr>
            <w:tcW w:w="1433" w:type="dxa"/>
            <w:tcBorders>
              <w:bottom w:val="single" w:sz="4" w:space="0" w:color="auto"/>
            </w:tcBorders>
            <w:vAlign w:val="center"/>
          </w:tcPr>
          <w:p w:rsidR="0032601F" w:rsidRPr="00AB2A72" w:rsidRDefault="0032601F" w:rsidP="008F0AB0">
            <w:pPr>
              <w:pStyle w:val="BodyText2"/>
              <w:widowControl w:val="0"/>
              <w:numPr>
                <w:ilvl w:val="0"/>
                <w:numId w:val="0"/>
              </w:numPr>
              <w:spacing w:after="0"/>
              <w:jc w:val="center"/>
              <w:rPr>
                <w:b/>
                <w:sz w:val="20"/>
                <w:vertAlign w:val="superscript"/>
              </w:rPr>
            </w:pPr>
            <w:r>
              <w:rPr>
                <w:sz w:val="20"/>
              </w:rPr>
              <w:t>1,069 lb/MWH</w:t>
            </w:r>
          </w:p>
        </w:tc>
        <w:tc>
          <w:tcPr>
            <w:tcW w:w="1433" w:type="dxa"/>
            <w:tcBorders>
              <w:bottom w:val="single" w:sz="4" w:space="0" w:color="auto"/>
            </w:tcBorders>
            <w:vAlign w:val="center"/>
          </w:tcPr>
          <w:p w:rsidR="0032601F" w:rsidRDefault="0032601F" w:rsidP="008F0AB0">
            <w:pPr>
              <w:pStyle w:val="BodyText2"/>
              <w:widowControl w:val="0"/>
              <w:numPr>
                <w:ilvl w:val="0"/>
                <w:numId w:val="0"/>
              </w:numPr>
              <w:spacing w:after="0"/>
              <w:jc w:val="center"/>
              <w:rPr>
                <w:sz w:val="20"/>
              </w:rPr>
            </w:pPr>
            <w:r>
              <w:rPr>
                <w:sz w:val="20"/>
              </w:rPr>
              <w:t>--</w:t>
            </w:r>
          </w:p>
        </w:tc>
        <w:tc>
          <w:tcPr>
            <w:tcW w:w="1633" w:type="dxa"/>
            <w:tcBorders>
              <w:bottom w:val="single" w:sz="4" w:space="0" w:color="auto"/>
              <w:right w:val="single" w:sz="12" w:space="0" w:color="auto"/>
            </w:tcBorders>
            <w:vAlign w:val="center"/>
          </w:tcPr>
          <w:p w:rsidR="0032601F" w:rsidRPr="001B6505" w:rsidRDefault="0032601F" w:rsidP="008F0AB0">
            <w:pPr>
              <w:pStyle w:val="BodyText2"/>
              <w:widowControl w:val="0"/>
              <w:numPr>
                <w:ilvl w:val="0"/>
                <w:numId w:val="0"/>
              </w:numPr>
              <w:spacing w:after="0"/>
              <w:jc w:val="center"/>
              <w:rPr>
                <w:sz w:val="20"/>
              </w:rPr>
            </w:pPr>
            <w:r>
              <w:rPr>
                <w:sz w:val="20"/>
              </w:rPr>
              <w:t>Clean fuels (1 gr S/100 scf)</w:t>
            </w:r>
          </w:p>
        </w:tc>
      </w:tr>
      <w:tr w:rsidR="0032601F" w:rsidRPr="001B6505" w:rsidTr="001A3B5B">
        <w:trPr>
          <w:trHeight w:val="478"/>
        </w:trPr>
        <w:tc>
          <w:tcPr>
            <w:tcW w:w="1161" w:type="dxa"/>
            <w:tcBorders>
              <w:left w:val="single" w:sz="12" w:space="0" w:color="auto"/>
              <w:bottom w:val="single" w:sz="12" w:space="0" w:color="auto"/>
            </w:tcBorders>
            <w:vAlign w:val="center"/>
          </w:tcPr>
          <w:p w:rsidR="0032601F" w:rsidRDefault="0032601F" w:rsidP="008F0AB0">
            <w:pPr>
              <w:pStyle w:val="BodyText2"/>
              <w:widowControl w:val="0"/>
              <w:numPr>
                <w:ilvl w:val="0"/>
                <w:numId w:val="0"/>
              </w:numPr>
              <w:spacing w:after="0"/>
              <w:jc w:val="center"/>
              <w:rPr>
                <w:sz w:val="20"/>
              </w:rPr>
            </w:pPr>
            <w:r>
              <w:rPr>
                <w:sz w:val="20"/>
              </w:rPr>
              <w:t>TX-0730</w:t>
            </w:r>
          </w:p>
        </w:tc>
        <w:tc>
          <w:tcPr>
            <w:tcW w:w="1205" w:type="dxa"/>
            <w:tcBorders>
              <w:bottom w:val="single" w:sz="12" w:space="0" w:color="auto"/>
            </w:tcBorders>
            <w:vAlign w:val="center"/>
          </w:tcPr>
          <w:p w:rsidR="0032601F" w:rsidRDefault="0032601F" w:rsidP="008F0AB0">
            <w:pPr>
              <w:pStyle w:val="BodyText2"/>
              <w:widowControl w:val="0"/>
              <w:numPr>
                <w:ilvl w:val="0"/>
                <w:numId w:val="0"/>
              </w:numPr>
              <w:spacing w:after="0"/>
              <w:jc w:val="center"/>
              <w:rPr>
                <w:sz w:val="20"/>
              </w:rPr>
            </w:pPr>
            <w:r>
              <w:rPr>
                <w:sz w:val="20"/>
              </w:rPr>
              <w:t>04/01/2015</w:t>
            </w:r>
          </w:p>
        </w:tc>
        <w:tc>
          <w:tcPr>
            <w:tcW w:w="1399" w:type="dxa"/>
            <w:tcBorders>
              <w:bottom w:val="single" w:sz="12" w:space="0" w:color="auto"/>
              <w:right w:val="single" w:sz="4" w:space="0" w:color="auto"/>
            </w:tcBorders>
            <w:vAlign w:val="center"/>
          </w:tcPr>
          <w:p w:rsidR="0032601F" w:rsidRPr="00E8321C" w:rsidRDefault="0032601F" w:rsidP="008F0AB0">
            <w:pPr>
              <w:pStyle w:val="BodyText2"/>
              <w:widowControl w:val="0"/>
              <w:numPr>
                <w:ilvl w:val="0"/>
                <w:numId w:val="0"/>
              </w:numPr>
              <w:spacing w:after="0"/>
              <w:jc w:val="center"/>
              <w:rPr>
                <w:sz w:val="20"/>
              </w:rPr>
            </w:pPr>
            <w:r w:rsidRPr="00E8321C">
              <w:rPr>
                <w:sz w:val="20"/>
              </w:rPr>
              <w:t>2-on-1 CCCT with HRSG</w:t>
            </w:r>
          </w:p>
        </w:tc>
        <w:tc>
          <w:tcPr>
            <w:tcW w:w="1486" w:type="dxa"/>
            <w:tcBorders>
              <w:left w:val="single" w:sz="4" w:space="0" w:color="auto"/>
              <w:bottom w:val="single" w:sz="12" w:space="0" w:color="auto"/>
            </w:tcBorders>
            <w:vAlign w:val="center"/>
          </w:tcPr>
          <w:p w:rsidR="0032601F" w:rsidRDefault="0032601F" w:rsidP="008F0AB0">
            <w:pPr>
              <w:pStyle w:val="BodyText2"/>
              <w:widowControl w:val="0"/>
              <w:numPr>
                <w:ilvl w:val="0"/>
                <w:numId w:val="0"/>
              </w:numPr>
              <w:spacing w:after="0"/>
              <w:jc w:val="center"/>
              <w:rPr>
                <w:sz w:val="20"/>
              </w:rPr>
            </w:pPr>
            <w:r w:rsidRPr="0038211E">
              <w:rPr>
                <w:sz w:val="20"/>
              </w:rPr>
              <w:t>1,100 MW</w:t>
            </w:r>
          </w:p>
        </w:tc>
        <w:tc>
          <w:tcPr>
            <w:tcW w:w="1433" w:type="dxa"/>
            <w:tcBorders>
              <w:bottom w:val="single" w:sz="12" w:space="0" w:color="auto"/>
            </w:tcBorders>
            <w:vAlign w:val="center"/>
          </w:tcPr>
          <w:p w:rsidR="0032601F" w:rsidRPr="006B6669" w:rsidRDefault="0032601F" w:rsidP="008F0AB0">
            <w:pPr>
              <w:pStyle w:val="BodyText2"/>
              <w:widowControl w:val="0"/>
              <w:numPr>
                <w:ilvl w:val="0"/>
                <w:numId w:val="0"/>
              </w:numPr>
              <w:spacing w:after="0"/>
              <w:jc w:val="center"/>
              <w:rPr>
                <w:sz w:val="20"/>
              </w:rPr>
            </w:pPr>
            <w:r w:rsidRPr="006B6669">
              <w:rPr>
                <w:sz w:val="20"/>
              </w:rPr>
              <w:t xml:space="preserve">879 lb/MWH </w:t>
            </w:r>
            <w:r w:rsidRPr="009E0B4A">
              <w:rPr>
                <w:b/>
                <w:vertAlign w:val="superscript"/>
              </w:rPr>
              <w:fldChar w:fldCharType="begin"/>
            </w:r>
            <w:r w:rsidRPr="009E0B4A">
              <w:rPr>
                <w:b/>
                <w:vertAlign w:val="superscript"/>
              </w:rPr>
              <w:instrText xml:space="preserve"> REF _Ref511122241 \r \h  \* MERGEFORMAT </w:instrText>
            </w:r>
            <w:r w:rsidRPr="009E0B4A">
              <w:rPr>
                <w:b/>
                <w:vertAlign w:val="superscript"/>
              </w:rPr>
            </w:r>
            <w:r w:rsidRPr="009E0B4A">
              <w:rPr>
                <w:b/>
                <w:vertAlign w:val="superscript"/>
              </w:rPr>
              <w:fldChar w:fldCharType="separate"/>
            </w:r>
            <w:r w:rsidR="003E3FA4">
              <w:rPr>
                <w:b/>
                <w:vertAlign w:val="superscript"/>
              </w:rPr>
              <w:t>b</w:t>
            </w:r>
            <w:r w:rsidRPr="009E0B4A">
              <w:rPr>
                <w:b/>
                <w:vertAlign w:val="superscript"/>
              </w:rPr>
              <w:fldChar w:fldCharType="end"/>
            </w:r>
          </w:p>
        </w:tc>
        <w:tc>
          <w:tcPr>
            <w:tcW w:w="1433" w:type="dxa"/>
            <w:tcBorders>
              <w:bottom w:val="single" w:sz="12" w:space="0" w:color="auto"/>
              <w:right w:val="single" w:sz="4" w:space="0" w:color="auto"/>
            </w:tcBorders>
            <w:vAlign w:val="center"/>
          </w:tcPr>
          <w:p w:rsidR="0032601F" w:rsidRPr="00E8321C" w:rsidRDefault="0032601F" w:rsidP="008F0AB0">
            <w:pPr>
              <w:pStyle w:val="BodyText2"/>
              <w:widowControl w:val="0"/>
              <w:numPr>
                <w:ilvl w:val="0"/>
                <w:numId w:val="0"/>
              </w:numPr>
              <w:spacing w:after="0"/>
              <w:jc w:val="center"/>
              <w:rPr>
                <w:sz w:val="20"/>
              </w:rPr>
            </w:pPr>
            <w:r w:rsidRPr="00707F26">
              <w:rPr>
                <w:sz w:val="20"/>
              </w:rPr>
              <w:t>--</w:t>
            </w:r>
          </w:p>
        </w:tc>
        <w:tc>
          <w:tcPr>
            <w:tcW w:w="1633" w:type="dxa"/>
            <w:tcBorders>
              <w:left w:val="single" w:sz="4" w:space="0" w:color="auto"/>
              <w:bottom w:val="single" w:sz="12" w:space="0" w:color="auto"/>
              <w:right w:val="single" w:sz="12" w:space="0" w:color="auto"/>
            </w:tcBorders>
            <w:vAlign w:val="center"/>
          </w:tcPr>
          <w:p w:rsidR="0032601F" w:rsidRDefault="0032601F" w:rsidP="008F0AB0">
            <w:pPr>
              <w:pStyle w:val="BodyText2"/>
              <w:widowControl w:val="0"/>
              <w:numPr>
                <w:ilvl w:val="0"/>
                <w:numId w:val="0"/>
              </w:numPr>
              <w:spacing w:after="0"/>
              <w:jc w:val="center"/>
              <w:rPr>
                <w:sz w:val="20"/>
              </w:rPr>
            </w:pPr>
            <w:r w:rsidRPr="001B6505">
              <w:rPr>
                <w:sz w:val="20"/>
              </w:rPr>
              <w:t>Clean fuels and energy efficiency</w:t>
            </w:r>
          </w:p>
        </w:tc>
      </w:tr>
      <w:tr w:rsidR="0032601F" w:rsidRPr="001B6505" w:rsidTr="001A3B5B">
        <w:trPr>
          <w:trHeight w:val="462"/>
        </w:trPr>
        <w:tc>
          <w:tcPr>
            <w:tcW w:w="9753" w:type="dxa"/>
            <w:gridSpan w:val="7"/>
            <w:tcBorders>
              <w:top w:val="single" w:sz="12" w:space="0" w:color="auto"/>
              <w:left w:val="single" w:sz="12" w:space="0" w:color="auto"/>
              <w:bottom w:val="single" w:sz="12" w:space="0" w:color="auto"/>
              <w:right w:val="single" w:sz="12" w:space="0" w:color="auto"/>
            </w:tcBorders>
          </w:tcPr>
          <w:p w:rsidR="0032601F" w:rsidRPr="00656136" w:rsidRDefault="0032601F" w:rsidP="008F0AB0">
            <w:pPr>
              <w:pStyle w:val="BodyText2"/>
              <w:widowControl w:val="0"/>
              <w:numPr>
                <w:ilvl w:val="0"/>
                <w:numId w:val="23"/>
              </w:numPr>
              <w:spacing w:after="0"/>
              <w:jc w:val="left"/>
              <w:rPr>
                <w:sz w:val="18"/>
              </w:rPr>
            </w:pPr>
            <w:bookmarkStart w:id="50" w:name="_Ref511122288"/>
            <w:r w:rsidRPr="00656136">
              <w:rPr>
                <w:sz w:val="18"/>
              </w:rPr>
              <w:t>GHG limits are given in carbon dioxide equivalent (CO</w:t>
            </w:r>
            <w:r w:rsidRPr="00656136">
              <w:rPr>
                <w:sz w:val="18"/>
                <w:vertAlign w:val="subscript"/>
              </w:rPr>
              <w:t>2</w:t>
            </w:r>
            <w:r w:rsidRPr="00656136">
              <w:rPr>
                <w:sz w:val="18"/>
              </w:rPr>
              <w:t>e).</w:t>
            </w:r>
            <w:bookmarkEnd w:id="50"/>
          </w:p>
          <w:p w:rsidR="0032601F" w:rsidRPr="00AB2A72" w:rsidRDefault="0032601F" w:rsidP="008F0AB0">
            <w:pPr>
              <w:pStyle w:val="BodyText2"/>
              <w:widowControl w:val="0"/>
              <w:numPr>
                <w:ilvl w:val="0"/>
                <w:numId w:val="23"/>
              </w:numPr>
              <w:spacing w:after="0"/>
              <w:jc w:val="left"/>
              <w:rPr>
                <w:sz w:val="20"/>
              </w:rPr>
            </w:pPr>
            <w:bookmarkStart w:id="51" w:name="_Ref511122241"/>
            <w:r w:rsidRPr="00656136">
              <w:rPr>
                <w:sz w:val="18"/>
              </w:rPr>
              <w:t>Calculated from heat rate using EPA Part 75 procedures</w:t>
            </w:r>
            <w:bookmarkEnd w:id="51"/>
          </w:p>
        </w:tc>
      </w:tr>
    </w:tbl>
    <w:p w:rsidR="00A26DEA" w:rsidRPr="00A26DEA" w:rsidRDefault="00A26DEA" w:rsidP="00A26DEA">
      <w:pPr>
        <w:widowControl w:val="0"/>
        <w:spacing w:before="120" w:after="120"/>
        <w:rPr>
          <w:sz w:val="22"/>
          <w:szCs w:val="22"/>
        </w:rPr>
      </w:pPr>
      <w:r w:rsidRPr="00A26DEA">
        <w:rPr>
          <w:sz w:val="22"/>
          <w:szCs w:val="22"/>
        </w:rPr>
        <w:t>The</w:t>
      </w:r>
      <w:r w:rsidR="00505FEB">
        <w:rPr>
          <w:sz w:val="22"/>
          <w:szCs w:val="22"/>
        </w:rPr>
        <w:t xml:space="preserve"> Department</w:t>
      </w:r>
      <w:r w:rsidR="00505FEB" w:rsidRPr="00A26DEA">
        <w:rPr>
          <w:sz w:val="22"/>
          <w:szCs w:val="22"/>
        </w:rPr>
        <w:t xml:space="preserve"> </w:t>
      </w:r>
      <w:r w:rsidR="00505FEB">
        <w:rPr>
          <w:sz w:val="22"/>
          <w:szCs w:val="22"/>
        </w:rPr>
        <w:t>recently</w:t>
      </w:r>
      <w:r w:rsidRPr="00A26DEA">
        <w:rPr>
          <w:sz w:val="22"/>
          <w:szCs w:val="22"/>
        </w:rPr>
        <w:t xml:space="preserve"> proposed BACT limits for</w:t>
      </w:r>
      <w:r w:rsidR="004661E5">
        <w:rPr>
          <w:sz w:val="22"/>
          <w:szCs w:val="22"/>
        </w:rPr>
        <w:t xml:space="preserve"> GE</w:t>
      </w:r>
      <w:r w:rsidRPr="00A26DEA">
        <w:rPr>
          <w:sz w:val="22"/>
          <w:szCs w:val="22"/>
        </w:rPr>
        <w:t xml:space="preserve"> H-frame turbines </w:t>
      </w:r>
      <w:r w:rsidR="004661E5">
        <w:rPr>
          <w:sz w:val="22"/>
          <w:szCs w:val="22"/>
        </w:rPr>
        <w:t>for the</w:t>
      </w:r>
      <w:r w:rsidR="004661E5" w:rsidRPr="004661E5">
        <w:t xml:space="preserve"> </w:t>
      </w:r>
      <w:r w:rsidR="004661E5" w:rsidRPr="004661E5">
        <w:rPr>
          <w:sz w:val="22"/>
          <w:szCs w:val="22"/>
        </w:rPr>
        <w:t>Dania Beach Energy Center</w:t>
      </w:r>
      <w:r w:rsidR="004661E5">
        <w:rPr>
          <w:sz w:val="22"/>
          <w:szCs w:val="22"/>
        </w:rPr>
        <w:t xml:space="preserve"> (DBEC) </w:t>
      </w:r>
      <w:r w:rsidR="00505FEB">
        <w:rPr>
          <w:sz w:val="22"/>
          <w:szCs w:val="22"/>
        </w:rPr>
        <w:t xml:space="preserve">and </w:t>
      </w:r>
      <w:r w:rsidR="004661E5" w:rsidRPr="004661E5">
        <w:rPr>
          <w:sz w:val="22"/>
          <w:szCs w:val="22"/>
        </w:rPr>
        <w:t>Okeechobee Clean Energy Center</w:t>
      </w:r>
      <w:r w:rsidR="004661E5">
        <w:rPr>
          <w:sz w:val="22"/>
          <w:szCs w:val="22"/>
        </w:rPr>
        <w:t xml:space="preserve"> (OCEC), which are operated by </w:t>
      </w:r>
      <w:r w:rsidR="004661E5" w:rsidRPr="004661E5">
        <w:rPr>
          <w:sz w:val="22"/>
          <w:szCs w:val="22"/>
        </w:rPr>
        <w:t>Florida Power &amp; Light Company</w:t>
      </w:r>
      <w:r w:rsidR="004661E5">
        <w:rPr>
          <w:sz w:val="22"/>
          <w:szCs w:val="22"/>
        </w:rPr>
        <w:t>;</w:t>
      </w:r>
      <w:r w:rsidRPr="00A26DEA">
        <w:rPr>
          <w:sz w:val="22"/>
          <w:szCs w:val="22"/>
        </w:rPr>
        <w:t xml:space="preserve"> these limits were 8</w:t>
      </w:r>
      <w:r w:rsidR="004661E5">
        <w:rPr>
          <w:sz w:val="22"/>
          <w:szCs w:val="22"/>
        </w:rPr>
        <w:t>5</w:t>
      </w:r>
      <w:r w:rsidRPr="00A26DEA">
        <w:rPr>
          <w:sz w:val="22"/>
          <w:szCs w:val="22"/>
        </w:rPr>
        <w:t>0 lb CO</w:t>
      </w:r>
      <w:r w:rsidRPr="00A26DEA">
        <w:rPr>
          <w:sz w:val="22"/>
          <w:szCs w:val="22"/>
          <w:vertAlign w:val="subscript"/>
        </w:rPr>
        <w:t>2</w:t>
      </w:r>
      <w:r w:rsidRPr="00A26DEA">
        <w:rPr>
          <w:sz w:val="22"/>
          <w:szCs w:val="22"/>
        </w:rPr>
        <w:t>e per MWh, net, for natural gas, and 1,2</w:t>
      </w:r>
      <w:r w:rsidR="004661E5">
        <w:rPr>
          <w:sz w:val="22"/>
          <w:szCs w:val="22"/>
        </w:rPr>
        <w:t>10</w:t>
      </w:r>
      <w:r w:rsidRPr="00A26DEA">
        <w:rPr>
          <w:sz w:val="22"/>
          <w:szCs w:val="22"/>
        </w:rPr>
        <w:t xml:space="preserve"> lb CO</w:t>
      </w:r>
      <w:r w:rsidRPr="00A26DEA">
        <w:rPr>
          <w:sz w:val="22"/>
          <w:szCs w:val="22"/>
          <w:vertAlign w:val="subscript"/>
        </w:rPr>
        <w:t>2</w:t>
      </w:r>
      <w:r w:rsidRPr="00A26DEA">
        <w:rPr>
          <w:sz w:val="22"/>
          <w:szCs w:val="22"/>
        </w:rPr>
        <w:t xml:space="preserve">e per MWh, net, for ULSD fuel oil.  </w:t>
      </w:r>
      <w:r w:rsidR="004661E5">
        <w:rPr>
          <w:sz w:val="22"/>
          <w:szCs w:val="22"/>
        </w:rPr>
        <w:t xml:space="preserve">However, both </w:t>
      </w:r>
      <w:r w:rsidR="003463F9">
        <w:rPr>
          <w:sz w:val="22"/>
          <w:szCs w:val="22"/>
        </w:rPr>
        <w:t xml:space="preserve">combined cycle </w:t>
      </w:r>
      <w:r w:rsidR="004661E5">
        <w:rPr>
          <w:sz w:val="22"/>
          <w:szCs w:val="22"/>
        </w:rPr>
        <w:t>units did not include duct burning and the DBEC project was</w:t>
      </w:r>
      <w:r w:rsidR="003463F9">
        <w:rPr>
          <w:sz w:val="22"/>
          <w:szCs w:val="22"/>
        </w:rPr>
        <w:t xml:space="preserve"> for a </w:t>
      </w:r>
      <w:r w:rsidR="00DB5887" w:rsidRPr="00DB5887">
        <w:rPr>
          <w:sz w:val="22"/>
          <w:szCs w:val="22"/>
        </w:rPr>
        <w:t xml:space="preserve">2-on-1 CCCT </w:t>
      </w:r>
      <w:r w:rsidR="00DB5887">
        <w:rPr>
          <w:sz w:val="22"/>
          <w:szCs w:val="22"/>
        </w:rPr>
        <w:t xml:space="preserve">and the OCEC project authorized a </w:t>
      </w:r>
      <w:r w:rsidR="00DB5887" w:rsidRPr="00DB5887">
        <w:rPr>
          <w:sz w:val="22"/>
          <w:szCs w:val="22"/>
        </w:rPr>
        <w:t>3-on-1 CCCT</w:t>
      </w:r>
      <w:r w:rsidR="00DB5887">
        <w:rPr>
          <w:sz w:val="22"/>
          <w:szCs w:val="22"/>
        </w:rPr>
        <w:t xml:space="preserve">. </w:t>
      </w:r>
      <w:r w:rsidR="00DB5887" w:rsidRPr="00DB5887">
        <w:rPr>
          <w:sz w:val="22"/>
          <w:szCs w:val="22"/>
        </w:rPr>
        <w:t xml:space="preserve"> </w:t>
      </w:r>
      <w:r w:rsidRPr="00A26DEA">
        <w:rPr>
          <w:sz w:val="22"/>
          <w:szCs w:val="22"/>
        </w:rPr>
        <w:t>Additionally,</w:t>
      </w:r>
      <w:r w:rsidR="00F2663A">
        <w:rPr>
          <w:sz w:val="22"/>
          <w:szCs w:val="22"/>
        </w:rPr>
        <w:t xml:space="preserve"> in 2015</w:t>
      </w:r>
      <w:r w:rsidRPr="00A26DEA">
        <w:rPr>
          <w:sz w:val="22"/>
          <w:szCs w:val="22"/>
        </w:rPr>
        <w:t xml:space="preserve"> </w:t>
      </w:r>
      <w:r w:rsidR="004661E5">
        <w:rPr>
          <w:sz w:val="22"/>
          <w:szCs w:val="22"/>
        </w:rPr>
        <w:t xml:space="preserve">a 2-on-1 </w:t>
      </w:r>
      <w:r w:rsidRPr="00A26DEA">
        <w:rPr>
          <w:sz w:val="22"/>
          <w:szCs w:val="22"/>
        </w:rPr>
        <w:t>combined-cycle facilit</w:t>
      </w:r>
      <w:r w:rsidR="004661E5">
        <w:rPr>
          <w:sz w:val="22"/>
          <w:szCs w:val="22"/>
        </w:rPr>
        <w:t>y</w:t>
      </w:r>
      <w:r w:rsidRPr="00A26DEA">
        <w:rPr>
          <w:sz w:val="22"/>
          <w:szCs w:val="22"/>
        </w:rPr>
        <w:t xml:space="preserve"> using 7HA.02 turbines</w:t>
      </w:r>
      <w:r w:rsidR="00F2663A">
        <w:rPr>
          <w:sz w:val="22"/>
          <w:szCs w:val="22"/>
        </w:rPr>
        <w:t xml:space="preserve"> with duct burners</w:t>
      </w:r>
      <w:r w:rsidRPr="00A26DEA">
        <w:rPr>
          <w:sz w:val="22"/>
          <w:szCs w:val="22"/>
        </w:rPr>
        <w:t xml:space="preserve"> </w:t>
      </w:r>
      <w:r w:rsidR="00310FB3">
        <w:rPr>
          <w:sz w:val="22"/>
          <w:szCs w:val="22"/>
        </w:rPr>
        <w:t>was</w:t>
      </w:r>
      <w:r w:rsidRPr="00A26DEA">
        <w:rPr>
          <w:sz w:val="22"/>
          <w:szCs w:val="22"/>
        </w:rPr>
        <w:t xml:space="preserve"> permitted in </w:t>
      </w:r>
      <w:r w:rsidR="004661E5" w:rsidRPr="00A26DEA">
        <w:rPr>
          <w:sz w:val="22"/>
          <w:szCs w:val="22"/>
        </w:rPr>
        <w:t>Texas</w:t>
      </w:r>
      <w:r w:rsidRPr="00A26DEA">
        <w:rPr>
          <w:sz w:val="22"/>
          <w:szCs w:val="22"/>
        </w:rPr>
        <w:t>: the GHG BACT limit for the Colorado Bend Energy Center is 879 lb/MWh, gross,</w:t>
      </w:r>
      <w:r w:rsidR="004661E5">
        <w:rPr>
          <w:sz w:val="22"/>
          <w:szCs w:val="22"/>
        </w:rPr>
        <w:t xml:space="preserve"> excluding startup and shutdown</w:t>
      </w:r>
      <w:r w:rsidRPr="00A26DEA">
        <w:rPr>
          <w:sz w:val="22"/>
          <w:szCs w:val="22"/>
        </w:rPr>
        <w:t xml:space="preserve">.  </w:t>
      </w:r>
      <w:r w:rsidR="00ED3562">
        <w:rPr>
          <w:sz w:val="22"/>
          <w:szCs w:val="22"/>
        </w:rPr>
        <w:t>According to the manufacturer’s data</w:t>
      </w:r>
      <w:r w:rsidR="004B2C7D">
        <w:rPr>
          <w:rStyle w:val="FootnoteReference"/>
        </w:rPr>
        <w:footnoteReference w:id="9"/>
      </w:r>
      <w:r w:rsidR="00ED3562">
        <w:rPr>
          <w:sz w:val="22"/>
          <w:szCs w:val="22"/>
        </w:rPr>
        <w:t xml:space="preserve">, </w:t>
      </w:r>
      <w:r w:rsidR="00F1662F">
        <w:rPr>
          <w:sz w:val="22"/>
          <w:szCs w:val="22"/>
        </w:rPr>
        <w:t>the efficiency value varies by 0.2% between a 2-on-1 CCCT and a 1-on-1 CCCT (based on the lower heating value).</w:t>
      </w:r>
      <w:r w:rsidR="00ED3562">
        <w:rPr>
          <w:sz w:val="22"/>
          <w:szCs w:val="22"/>
        </w:rPr>
        <w:t xml:space="preserve">  </w:t>
      </w:r>
      <w:r w:rsidR="001D17E0">
        <w:rPr>
          <w:sz w:val="22"/>
          <w:szCs w:val="22"/>
        </w:rPr>
        <w:t xml:space="preserve">Therefore, the </w:t>
      </w:r>
      <w:r w:rsidR="009E0B4A">
        <w:rPr>
          <w:sz w:val="22"/>
          <w:szCs w:val="22"/>
        </w:rPr>
        <w:t xml:space="preserve">Department proposes a </w:t>
      </w:r>
      <w:r w:rsidR="00F1662F">
        <w:rPr>
          <w:sz w:val="22"/>
          <w:szCs w:val="22"/>
        </w:rPr>
        <w:t>more stringent limitation</w:t>
      </w:r>
      <w:r w:rsidR="009E0B4A">
        <w:rPr>
          <w:sz w:val="22"/>
          <w:szCs w:val="22"/>
        </w:rPr>
        <w:t xml:space="preserve"> of </w:t>
      </w:r>
      <w:r w:rsidR="009E0B4A" w:rsidRPr="009E0B4A">
        <w:rPr>
          <w:sz w:val="22"/>
          <w:szCs w:val="22"/>
        </w:rPr>
        <w:t>87</w:t>
      </w:r>
      <w:r w:rsidR="009E0B4A">
        <w:rPr>
          <w:sz w:val="22"/>
          <w:szCs w:val="22"/>
        </w:rPr>
        <w:t>5</w:t>
      </w:r>
      <w:r w:rsidR="009E0B4A" w:rsidRPr="009E0B4A">
        <w:rPr>
          <w:sz w:val="22"/>
          <w:szCs w:val="22"/>
        </w:rPr>
        <w:t xml:space="preserve"> lb/MWh</w:t>
      </w:r>
      <w:r w:rsidR="009E0B4A">
        <w:rPr>
          <w:sz w:val="22"/>
          <w:szCs w:val="22"/>
        </w:rPr>
        <w:t xml:space="preserve">, </w:t>
      </w:r>
      <w:r w:rsidR="00F1662F">
        <w:rPr>
          <w:sz w:val="22"/>
          <w:szCs w:val="22"/>
        </w:rPr>
        <w:t>despite the slight variance in efficiency</w:t>
      </w:r>
      <w:r w:rsidR="00A41D56">
        <w:rPr>
          <w:sz w:val="22"/>
          <w:szCs w:val="22"/>
        </w:rPr>
        <w:t xml:space="preserve"> due to the configuration</w:t>
      </w:r>
      <w:r w:rsidRPr="00A26DEA">
        <w:rPr>
          <w:sz w:val="22"/>
          <w:szCs w:val="22"/>
        </w:rPr>
        <w:t xml:space="preserve">.  </w:t>
      </w:r>
      <w:r w:rsidR="00E64BB5">
        <w:rPr>
          <w:sz w:val="22"/>
          <w:szCs w:val="22"/>
        </w:rPr>
        <w:t>To</w:t>
      </w:r>
      <w:r w:rsidR="00DE69FC">
        <w:rPr>
          <w:sz w:val="22"/>
          <w:szCs w:val="22"/>
        </w:rPr>
        <w:t xml:space="preserve"> account for the duct firing, t</w:t>
      </w:r>
      <w:r w:rsidRPr="00A26DEA">
        <w:rPr>
          <w:sz w:val="22"/>
          <w:szCs w:val="22"/>
        </w:rPr>
        <w:t xml:space="preserve">he Department’s proposed GHG BACT </w:t>
      </w:r>
      <w:r w:rsidR="00A41D56">
        <w:rPr>
          <w:sz w:val="22"/>
          <w:szCs w:val="22"/>
        </w:rPr>
        <w:t xml:space="preserve">limit is approximately 3% greater than the </w:t>
      </w:r>
      <w:r w:rsidRPr="00A26DEA">
        <w:rPr>
          <w:sz w:val="22"/>
          <w:szCs w:val="22"/>
        </w:rPr>
        <w:t>GHG BACT limits</w:t>
      </w:r>
      <w:r w:rsidR="00A41D56">
        <w:rPr>
          <w:sz w:val="22"/>
          <w:szCs w:val="22"/>
        </w:rPr>
        <w:t xml:space="preserve"> </w:t>
      </w:r>
      <w:r w:rsidR="00DE69FC">
        <w:rPr>
          <w:sz w:val="22"/>
          <w:szCs w:val="22"/>
        </w:rPr>
        <w:t>established</w:t>
      </w:r>
      <w:r w:rsidR="00A41D56">
        <w:rPr>
          <w:sz w:val="22"/>
          <w:szCs w:val="22"/>
        </w:rPr>
        <w:t xml:space="preserve"> for the OCEC and DBEC</w:t>
      </w:r>
      <w:r w:rsidR="005A4E69">
        <w:rPr>
          <w:sz w:val="22"/>
          <w:szCs w:val="22"/>
        </w:rPr>
        <w:t xml:space="preserve"> projects</w:t>
      </w:r>
      <w:r w:rsidRPr="00A26DEA">
        <w:rPr>
          <w:sz w:val="22"/>
          <w:szCs w:val="22"/>
        </w:rPr>
        <w:t>.</w:t>
      </w:r>
    </w:p>
    <w:p w:rsidR="002A6747" w:rsidRPr="00277AF3" w:rsidRDefault="004C3C33" w:rsidP="00277AF3">
      <w:pPr>
        <w:pStyle w:val="ListParagraph"/>
        <w:widowControl w:val="0"/>
        <w:numPr>
          <w:ilvl w:val="2"/>
          <w:numId w:val="3"/>
        </w:numPr>
        <w:spacing w:after="120"/>
        <w:ind w:left="720" w:hanging="720"/>
        <w:contextualSpacing w:val="0"/>
        <w:rPr>
          <w:caps/>
          <w:sz w:val="22"/>
          <w:szCs w:val="22"/>
          <w:u w:val="single"/>
        </w:rPr>
      </w:pPr>
      <w:r w:rsidRPr="00277AF3">
        <w:rPr>
          <w:sz w:val="22"/>
          <w:szCs w:val="22"/>
          <w:u w:val="single"/>
        </w:rPr>
        <w:t xml:space="preserve">Summary of Emission Standards for EU No. </w:t>
      </w:r>
      <w:r w:rsidR="00DF3719">
        <w:rPr>
          <w:sz w:val="22"/>
          <w:szCs w:val="22"/>
          <w:u w:val="single"/>
        </w:rPr>
        <w:t>001</w:t>
      </w:r>
    </w:p>
    <w:p w:rsidR="00C64017" w:rsidRPr="00C64017" w:rsidRDefault="00C64017" w:rsidP="00C64017">
      <w:pPr>
        <w:widowControl w:val="0"/>
        <w:spacing w:before="120" w:after="120"/>
        <w:rPr>
          <w:sz w:val="22"/>
          <w:szCs w:val="22"/>
        </w:rPr>
      </w:pPr>
      <w:r w:rsidRPr="00C64017">
        <w:rPr>
          <w:sz w:val="22"/>
          <w:szCs w:val="22"/>
        </w:rPr>
        <w:t xml:space="preserve">The emission limits for the combined cycle </w:t>
      </w:r>
      <w:r w:rsidR="000651E0">
        <w:rPr>
          <w:sz w:val="22"/>
          <w:szCs w:val="22"/>
        </w:rPr>
        <w:t xml:space="preserve">unit are </w:t>
      </w:r>
      <w:r w:rsidRPr="00C64017">
        <w:rPr>
          <w:sz w:val="22"/>
          <w:szCs w:val="22"/>
        </w:rPr>
        <w:t>summarized in</w:t>
      </w:r>
      <w:r w:rsidR="00277AF3">
        <w:rPr>
          <w:sz w:val="22"/>
          <w:szCs w:val="22"/>
        </w:rPr>
        <w:t xml:space="preserve"> </w:t>
      </w:r>
      <w:r w:rsidR="00277AF3" w:rsidRPr="00277AF3">
        <w:rPr>
          <w:rFonts w:ascii="Times New Roman Bold" w:hAnsi="Times New Roman Bold"/>
          <w:b/>
          <w:sz w:val="22"/>
          <w:szCs w:val="22"/>
        </w:rPr>
        <w:fldChar w:fldCharType="begin"/>
      </w:r>
      <w:r w:rsidR="00277AF3" w:rsidRPr="00277AF3">
        <w:rPr>
          <w:rFonts w:ascii="Times New Roman Bold" w:hAnsi="Times New Roman Bold"/>
          <w:b/>
          <w:sz w:val="22"/>
          <w:szCs w:val="22"/>
        </w:rPr>
        <w:instrText xml:space="preserve"> REF _Ref513619433 \h </w:instrText>
      </w:r>
      <w:r w:rsidR="00277AF3">
        <w:rPr>
          <w:rFonts w:ascii="Times New Roman Bold" w:hAnsi="Times New Roman Bold"/>
          <w:b/>
          <w:sz w:val="22"/>
          <w:szCs w:val="22"/>
        </w:rPr>
        <w:instrText xml:space="preserve"> \* MERGEFORMAT </w:instrText>
      </w:r>
      <w:r w:rsidR="00277AF3" w:rsidRPr="00277AF3">
        <w:rPr>
          <w:rFonts w:ascii="Times New Roman Bold" w:hAnsi="Times New Roman Bold"/>
          <w:b/>
          <w:sz w:val="22"/>
          <w:szCs w:val="22"/>
        </w:rPr>
      </w:r>
      <w:r w:rsidR="00277AF3" w:rsidRPr="00277AF3">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13</w:t>
      </w:r>
      <w:r w:rsidR="00277AF3" w:rsidRPr="00277AF3">
        <w:rPr>
          <w:rFonts w:ascii="Times New Roman Bold" w:hAnsi="Times New Roman Bold"/>
          <w:b/>
          <w:sz w:val="22"/>
          <w:szCs w:val="22"/>
        </w:rPr>
        <w:fldChar w:fldCharType="end"/>
      </w:r>
      <w:r w:rsidRPr="00C64017">
        <w:rPr>
          <w:sz w:val="22"/>
          <w:szCs w:val="22"/>
        </w:rPr>
        <w:t>.</w:t>
      </w:r>
    </w:p>
    <w:p w:rsidR="00C64017" w:rsidRPr="00277AF3" w:rsidRDefault="00277AF3" w:rsidP="00277AF3">
      <w:pPr>
        <w:pStyle w:val="Caption"/>
        <w:spacing w:before="0"/>
        <w:jc w:val="center"/>
        <w:rPr>
          <w:rFonts w:ascii="Times New Roman Bold" w:hAnsi="Times New Roman Bold"/>
        </w:rPr>
      </w:pPr>
      <w:bookmarkStart w:id="52" w:name="Tab10"/>
      <w:bookmarkStart w:id="53" w:name="_Ref513619433"/>
      <w:bookmarkEnd w:id="52"/>
      <w:r w:rsidRPr="00277AF3">
        <w:rPr>
          <w:rFonts w:ascii="Times New Roman Bold" w:hAnsi="Times New Roman Bold"/>
        </w:rPr>
        <w:t xml:space="preserve">Table </w:t>
      </w:r>
      <w:r w:rsidRPr="00277AF3">
        <w:rPr>
          <w:rFonts w:ascii="Times New Roman Bold" w:hAnsi="Times New Roman Bold"/>
        </w:rPr>
        <w:fldChar w:fldCharType="begin"/>
      </w:r>
      <w:r w:rsidRPr="00277AF3">
        <w:rPr>
          <w:rFonts w:ascii="Times New Roman Bold" w:hAnsi="Times New Roman Bold"/>
        </w:rPr>
        <w:instrText xml:space="preserve"> SEQ Table \* ARABIC </w:instrText>
      </w:r>
      <w:r w:rsidRPr="00277AF3">
        <w:rPr>
          <w:rFonts w:ascii="Times New Roman Bold" w:hAnsi="Times New Roman Bold"/>
        </w:rPr>
        <w:fldChar w:fldCharType="separate"/>
      </w:r>
      <w:r w:rsidR="007204D0">
        <w:rPr>
          <w:rFonts w:ascii="Times New Roman Bold" w:hAnsi="Times New Roman Bold"/>
          <w:noProof/>
        </w:rPr>
        <w:t>13</w:t>
      </w:r>
      <w:r w:rsidRPr="00277AF3">
        <w:rPr>
          <w:rFonts w:ascii="Times New Roman Bold" w:hAnsi="Times New Roman Bold"/>
        </w:rPr>
        <w:fldChar w:fldCharType="end"/>
      </w:r>
      <w:bookmarkEnd w:id="53"/>
      <w:r w:rsidRPr="00277AF3">
        <w:rPr>
          <w:rFonts w:ascii="Times New Roman Bold" w:hAnsi="Times New Roman Bold"/>
        </w:rPr>
        <w:t xml:space="preserve"> - </w:t>
      </w:r>
      <w:r w:rsidR="00C64017" w:rsidRPr="00277AF3">
        <w:rPr>
          <w:rFonts w:ascii="Times New Roman Bold" w:hAnsi="Times New Roman Bold"/>
        </w:rPr>
        <w:t xml:space="preserve">Summary of Emission Limits for </w:t>
      </w:r>
      <w:r w:rsidR="005A3A96" w:rsidRPr="00277AF3">
        <w:rPr>
          <w:rFonts w:ascii="Times New Roman Bold" w:hAnsi="Times New Roman Bold"/>
        </w:rPr>
        <w:t xml:space="preserve">EU </w:t>
      </w:r>
      <w:r w:rsidR="00DF3719">
        <w:rPr>
          <w:rFonts w:ascii="Times New Roman Bold" w:hAnsi="Times New Roman Bold"/>
        </w:rPr>
        <w:t>001</w:t>
      </w:r>
      <w:r w:rsidR="00C64017" w:rsidRPr="00277AF3">
        <w:rPr>
          <w:rFonts w:ascii="Times New Roman Bold" w:hAnsi="Times New Roman Bold"/>
        </w:rPr>
        <w:t>.</w:t>
      </w:r>
    </w:p>
    <w:tbl>
      <w:tblPr>
        <w:tblW w:w="97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05"/>
        <w:gridCol w:w="2362"/>
        <w:gridCol w:w="1958"/>
        <w:gridCol w:w="2164"/>
        <w:gridCol w:w="1650"/>
      </w:tblGrid>
      <w:tr w:rsidR="00DC0CC5" w:rsidTr="003330FD">
        <w:trPr>
          <w:trHeight w:val="240"/>
          <w:tblHeader/>
          <w:jc w:val="center"/>
        </w:trPr>
        <w:tc>
          <w:tcPr>
            <w:tcW w:w="1605" w:type="dxa"/>
            <w:tcBorders>
              <w:top w:val="single" w:sz="12" w:space="0" w:color="auto"/>
              <w:left w:val="single" w:sz="12" w:space="0" w:color="auto"/>
              <w:bottom w:val="single" w:sz="12" w:space="0" w:color="auto"/>
              <w:right w:val="single" w:sz="12" w:space="0" w:color="auto"/>
            </w:tcBorders>
            <w:shd w:val="clear" w:color="auto" w:fill="B8CCE4"/>
            <w:vAlign w:val="center"/>
            <w:hideMark/>
          </w:tcPr>
          <w:p w:rsidR="00DC0CC5" w:rsidRDefault="00DC0CC5" w:rsidP="00262064">
            <w:pPr>
              <w:keepNext/>
              <w:keepLines/>
              <w:spacing w:before="20" w:after="20"/>
              <w:jc w:val="center"/>
              <w:rPr>
                <w:b/>
              </w:rPr>
            </w:pPr>
            <w:bookmarkStart w:id="54" w:name="alternate"/>
            <w:bookmarkEnd w:id="54"/>
            <w:r>
              <w:br w:type="page"/>
            </w:r>
            <w:r>
              <w:rPr>
                <w:b/>
              </w:rPr>
              <w:t>Pollutant</w:t>
            </w:r>
          </w:p>
        </w:tc>
        <w:tc>
          <w:tcPr>
            <w:tcW w:w="2362" w:type="dxa"/>
            <w:tcBorders>
              <w:top w:val="single" w:sz="12" w:space="0" w:color="auto"/>
              <w:left w:val="single" w:sz="12" w:space="0" w:color="auto"/>
              <w:bottom w:val="single" w:sz="12" w:space="0" w:color="auto"/>
              <w:right w:val="single" w:sz="12" w:space="0" w:color="auto"/>
            </w:tcBorders>
            <w:shd w:val="clear" w:color="auto" w:fill="B8CCE4"/>
            <w:vAlign w:val="center"/>
            <w:hideMark/>
          </w:tcPr>
          <w:p w:rsidR="00DC0CC5" w:rsidRDefault="00DC0CC5" w:rsidP="00262064">
            <w:pPr>
              <w:keepNext/>
              <w:keepLines/>
              <w:spacing w:before="20" w:after="20"/>
              <w:jc w:val="center"/>
              <w:rPr>
                <w:b/>
                <w:vertAlign w:val="superscript"/>
              </w:rPr>
            </w:pPr>
            <w:r>
              <w:rPr>
                <w:b/>
              </w:rPr>
              <w:t>Emission Standard</w:t>
            </w:r>
            <w:r>
              <w:t xml:space="preserve"> </w:t>
            </w:r>
            <w:r>
              <w:rPr>
                <w:b/>
                <w:sz w:val="24"/>
                <w:szCs w:val="24"/>
                <w:vertAlign w:val="superscript"/>
              </w:rPr>
              <w:t>a</w:t>
            </w:r>
          </w:p>
        </w:tc>
        <w:tc>
          <w:tcPr>
            <w:tcW w:w="1958" w:type="dxa"/>
            <w:tcBorders>
              <w:top w:val="single" w:sz="12" w:space="0" w:color="auto"/>
              <w:left w:val="single" w:sz="12" w:space="0" w:color="auto"/>
              <w:bottom w:val="single" w:sz="12" w:space="0" w:color="auto"/>
              <w:right w:val="single" w:sz="12" w:space="0" w:color="auto"/>
            </w:tcBorders>
            <w:shd w:val="clear" w:color="auto" w:fill="B8CCE4"/>
            <w:vAlign w:val="center"/>
            <w:hideMark/>
          </w:tcPr>
          <w:p w:rsidR="00DC0CC5" w:rsidRDefault="00DC0CC5" w:rsidP="00262064">
            <w:pPr>
              <w:pStyle w:val="EndnoteText"/>
              <w:keepNext/>
              <w:keepLines/>
              <w:tabs>
                <w:tab w:val="decimal" w:pos="-18"/>
              </w:tabs>
              <w:spacing w:before="20" w:after="20"/>
              <w:jc w:val="center"/>
              <w:rPr>
                <w:b/>
              </w:rPr>
            </w:pPr>
            <w:r>
              <w:rPr>
                <w:b/>
              </w:rPr>
              <w:t>Basis</w:t>
            </w:r>
          </w:p>
        </w:tc>
        <w:tc>
          <w:tcPr>
            <w:tcW w:w="2164" w:type="dxa"/>
            <w:tcBorders>
              <w:top w:val="single" w:sz="12" w:space="0" w:color="auto"/>
              <w:left w:val="single" w:sz="12" w:space="0" w:color="auto"/>
              <w:bottom w:val="single" w:sz="12" w:space="0" w:color="auto"/>
              <w:right w:val="single" w:sz="12" w:space="0" w:color="auto"/>
            </w:tcBorders>
            <w:shd w:val="clear" w:color="auto" w:fill="B8CCE4"/>
            <w:vAlign w:val="center"/>
            <w:hideMark/>
          </w:tcPr>
          <w:p w:rsidR="00DC0CC5" w:rsidRDefault="00DC0CC5" w:rsidP="00262064">
            <w:pPr>
              <w:pStyle w:val="EndnoteText"/>
              <w:keepNext/>
              <w:keepLines/>
              <w:tabs>
                <w:tab w:val="decimal" w:pos="-18"/>
              </w:tabs>
              <w:spacing w:before="20" w:after="20"/>
              <w:jc w:val="center"/>
              <w:rPr>
                <w:b/>
              </w:rPr>
            </w:pPr>
            <w:r>
              <w:rPr>
                <w:b/>
              </w:rPr>
              <w:t>Compliance Method</w:t>
            </w:r>
            <w:r>
              <w:rPr>
                <w:b/>
                <w:sz w:val="24"/>
                <w:szCs w:val="24"/>
                <w:vertAlign w:val="superscript"/>
              </w:rPr>
              <w:t xml:space="preserve"> b</w:t>
            </w:r>
          </w:p>
        </w:tc>
        <w:tc>
          <w:tcPr>
            <w:tcW w:w="1650" w:type="dxa"/>
            <w:tcBorders>
              <w:top w:val="single" w:sz="12" w:space="0" w:color="auto"/>
              <w:left w:val="single" w:sz="12" w:space="0" w:color="auto"/>
              <w:bottom w:val="single" w:sz="12" w:space="0" w:color="auto"/>
              <w:right w:val="single" w:sz="12" w:space="0" w:color="auto"/>
            </w:tcBorders>
            <w:shd w:val="clear" w:color="auto" w:fill="B8CCE4"/>
            <w:vAlign w:val="center"/>
            <w:hideMark/>
          </w:tcPr>
          <w:p w:rsidR="00DC0CC5" w:rsidRDefault="00DC0CC5" w:rsidP="00262064">
            <w:pPr>
              <w:keepNext/>
              <w:keepLines/>
              <w:spacing w:before="20" w:after="20"/>
              <w:jc w:val="center"/>
              <w:rPr>
                <w:b/>
              </w:rPr>
            </w:pPr>
            <w:r>
              <w:rPr>
                <w:b/>
              </w:rPr>
              <w:t>Averaging Time</w:t>
            </w:r>
          </w:p>
        </w:tc>
      </w:tr>
      <w:tr w:rsidR="002760CA" w:rsidTr="003330FD">
        <w:trPr>
          <w:trHeight w:val="618"/>
          <w:jc w:val="center"/>
        </w:trPr>
        <w:tc>
          <w:tcPr>
            <w:tcW w:w="1605" w:type="dxa"/>
            <w:vMerge w:val="restart"/>
            <w:tcBorders>
              <w:top w:val="single" w:sz="12" w:space="0" w:color="auto"/>
              <w:left w:val="single" w:sz="12" w:space="0" w:color="auto"/>
              <w:right w:val="single" w:sz="12" w:space="0" w:color="auto"/>
            </w:tcBorders>
            <w:vAlign w:val="center"/>
            <w:hideMark/>
          </w:tcPr>
          <w:p w:rsidR="002760CA" w:rsidRDefault="002760CA" w:rsidP="001A3B5B">
            <w:pPr>
              <w:jc w:val="center"/>
            </w:pPr>
            <w:r w:rsidRPr="001A3B5B">
              <w:t>NO</w:t>
            </w:r>
            <w:r w:rsidRPr="001A3B5B">
              <w:rPr>
                <w:vertAlign w:val="subscript"/>
              </w:rPr>
              <w:t>X</w:t>
            </w:r>
          </w:p>
        </w:tc>
        <w:tc>
          <w:tcPr>
            <w:tcW w:w="2362" w:type="dxa"/>
            <w:tcBorders>
              <w:top w:val="single" w:sz="12" w:space="0" w:color="auto"/>
              <w:left w:val="single" w:sz="12" w:space="0" w:color="auto"/>
              <w:bottom w:val="single" w:sz="4" w:space="0" w:color="auto"/>
              <w:right w:val="single" w:sz="12" w:space="0" w:color="auto"/>
            </w:tcBorders>
            <w:vAlign w:val="center"/>
            <w:hideMark/>
          </w:tcPr>
          <w:p w:rsidR="002760CA" w:rsidRDefault="002760CA" w:rsidP="00262064">
            <w:pPr>
              <w:keepNext/>
              <w:keepLines/>
              <w:spacing w:before="20" w:after="20"/>
              <w:ind w:left="-108"/>
              <w:jc w:val="center"/>
            </w:pPr>
            <w:r>
              <w:t>2.0 ppmvd @15% O</w:t>
            </w:r>
            <w:r>
              <w:rPr>
                <w:vertAlign w:val="subscript"/>
              </w:rPr>
              <w:t>2</w:t>
            </w:r>
          </w:p>
        </w:tc>
        <w:tc>
          <w:tcPr>
            <w:tcW w:w="1958" w:type="dxa"/>
            <w:tcBorders>
              <w:top w:val="single" w:sz="12" w:space="0" w:color="auto"/>
              <w:left w:val="single" w:sz="12" w:space="0" w:color="auto"/>
              <w:bottom w:val="single" w:sz="4" w:space="0" w:color="auto"/>
              <w:right w:val="single" w:sz="12" w:space="0" w:color="auto"/>
            </w:tcBorders>
            <w:vAlign w:val="center"/>
            <w:hideMark/>
          </w:tcPr>
          <w:p w:rsidR="002760CA" w:rsidRDefault="002760CA" w:rsidP="00262064">
            <w:pPr>
              <w:keepNext/>
              <w:keepLines/>
              <w:spacing w:before="20" w:after="20"/>
              <w:ind w:left="-108"/>
              <w:jc w:val="center"/>
            </w:pPr>
            <w:r>
              <w:t>Primary BACT (Normal operating conditions)</w:t>
            </w:r>
          </w:p>
        </w:tc>
        <w:tc>
          <w:tcPr>
            <w:tcW w:w="2164" w:type="dxa"/>
            <w:vMerge w:val="restart"/>
            <w:tcBorders>
              <w:top w:val="single" w:sz="12" w:space="0" w:color="auto"/>
              <w:left w:val="single" w:sz="12" w:space="0" w:color="auto"/>
              <w:right w:val="single" w:sz="12" w:space="0" w:color="auto"/>
            </w:tcBorders>
            <w:vAlign w:val="center"/>
            <w:hideMark/>
          </w:tcPr>
          <w:p w:rsidR="002760CA" w:rsidRDefault="002760CA" w:rsidP="00B3239D">
            <w:pPr>
              <w:jc w:val="center"/>
            </w:pPr>
            <w:r w:rsidRPr="00B3239D">
              <w:t>CEMS</w:t>
            </w:r>
          </w:p>
        </w:tc>
        <w:tc>
          <w:tcPr>
            <w:tcW w:w="1650" w:type="dxa"/>
            <w:tcBorders>
              <w:top w:val="single" w:sz="12" w:space="0" w:color="auto"/>
              <w:left w:val="single" w:sz="12" w:space="0" w:color="auto"/>
              <w:bottom w:val="dotted" w:sz="4" w:space="0" w:color="auto"/>
              <w:right w:val="single" w:sz="12" w:space="0" w:color="auto"/>
            </w:tcBorders>
            <w:vAlign w:val="center"/>
            <w:hideMark/>
          </w:tcPr>
          <w:p w:rsidR="002760CA" w:rsidRDefault="002760CA" w:rsidP="00262064">
            <w:pPr>
              <w:keepNext/>
              <w:keepLines/>
              <w:tabs>
                <w:tab w:val="decimal" w:pos="-18"/>
              </w:tabs>
              <w:spacing w:before="20" w:after="20"/>
              <w:jc w:val="center"/>
            </w:pPr>
            <w:r>
              <w:t>24-hr block avg.</w:t>
            </w:r>
          </w:p>
        </w:tc>
      </w:tr>
      <w:tr w:rsidR="002760CA" w:rsidTr="003330FD">
        <w:trPr>
          <w:trHeight w:val="588"/>
          <w:jc w:val="center"/>
        </w:trPr>
        <w:tc>
          <w:tcPr>
            <w:tcW w:w="1605" w:type="dxa"/>
            <w:vMerge/>
            <w:tcBorders>
              <w:left w:val="single" w:sz="12" w:space="0" w:color="auto"/>
              <w:right w:val="single" w:sz="12" w:space="0" w:color="auto"/>
            </w:tcBorders>
            <w:vAlign w:val="center"/>
            <w:hideMark/>
          </w:tcPr>
          <w:p w:rsidR="002760CA" w:rsidRDefault="002760CA" w:rsidP="001A3B5B">
            <w:pPr>
              <w:jc w:val="center"/>
            </w:pPr>
          </w:p>
        </w:tc>
        <w:tc>
          <w:tcPr>
            <w:tcW w:w="2362" w:type="dxa"/>
            <w:tcBorders>
              <w:top w:val="single" w:sz="4" w:space="0" w:color="auto"/>
              <w:left w:val="single" w:sz="12" w:space="0" w:color="auto"/>
              <w:bottom w:val="single" w:sz="4" w:space="0" w:color="auto"/>
              <w:right w:val="single" w:sz="12" w:space="0" w:color="auto"/>
            </w:tcBorders>
            <w:hideMark/>
          </w:tcPr>
          <w:p w:rsidR="002760CA" w:rsidRDefault="00F62677" w:rsidP="00262064">
            <w:pPr>
              <w:keepNext/>
              <w:keepLines/>
              <w:spacing w:before="20" w:after="20"/>
              <w:ind w:left="-108"/>
              <w:jc w:val="center"/>
              <w:rPr>
                <w:vertAlign w:val="subscript"/>
              </w:rPr>
            </w:pPr>
            <w:r>
              <w:t>15</w:t>
            </w:r>
            <w:r w:rsidR="002760CA">
              <w:t xml:space="preserve"> ppmvd @15% O</w:t>
            </w:r>
            <w:r w:rsidR="002760CA">
              <w:rPr>
                <w:vertAlign w:val="subscript"/>
              </w:rPr>
              <w:t>2</w:t>
            </w:r>
          </w:p>
          <w:p w:rsidR="002760CA" w:rsidRDefault="002760CA" w:rsidP="00262064">
            <w:pPr>
              <w:keepNext/>
              <w:keepLines/>
              <w:spacing w:before="20" w:after="20"/>
              <w:ind w:left="-108"/>
              <w:jc w:val="center"/>
            </w:pPr>
            <w:r>
              <w:t xml:space="preserve">(for turbine loads </w:t>
            </w:r>
            <w:r>
              <w:rPr>
                <w:sz w:val="24"/>
                <w:szCs w:val="24"/>
              </w:rPr>
              <w:t>≥</w:t>
            </w:r>
            <w:r>
              <w:t xml:space="preserve"> 75%)</w:t>
            </w:r>
          </w:p>
        </w:tc>
        <w:tc>
          <w:tcPr>
            <w:tcW w:w="1958" w:type="dxa"/>
            <w:vMerge w:val="restart"/>
            <w:tcBorders>
              <w:top w:val="single" w:sz="4" w:space="0" w:color="auto"/>
              <w:left w:val="single" w:sz="12" w:space="0" w:color="auto"/>
              <w:right w:val="single" w:sz="12" w:space="0" w:color="auto"/>
            </w:tcBorders>
            <w:vAlign w:val="center"/>
            <w:hideMark/>
          </w:tcPr>
          <w:p w:rsidR="002760CA" w:rsidRDefault="002760CA" w:rsidP="00262064">
            <w:pPr>
              <w:keepNext/>
              <w:keepLines/>
              <w:spacing w:before="20" w:after="20"/>
              <w:ind w:left="-108"/>
              <w:jc w:val="center"/>
            </w:pPr>
            <w:r>
              <w:t xml:space="preserve">NSPS KKKK, Secondary BACT </w:t>
            </w:r>
            <w:r>
              <w:rPr>
                <w:vertAlign w:val="superscript"/>
              </w:rPr>
              <w:t>c</w:t>
            </w:r>
          </w:p>
        </w:tc>
        <w:tc>
          <w:tcPr>
            <w:tcW w:w="2164" w:type="dxa"/>
            <w:vMerge/>
            <w:tcBorders>
              <w:left w:val="single" w:sz="12" w:space="0" w:color="auto"/>
              <w:right w:val="single" w:sz="12" w:space="0" w:color="auto"/>
            </w:tcBorders>
            <w:vAlign w:val="center"/>
            <w:hideMark/>
          </w:tcPr>
          <w:p w:rsidR="002760CA" w:rsidRDefault="002760CA" w:rsidP="00B3239D">
            <w:pPr>
              <w:jc w:val="center"/>
            </w:pPr>
          </w:p>
        </w:tc>
        <w:tc>
          <w:tcPr>
            <w:tcW w:w="1650" w:type="dxa"/>
            <w:vMerge w:val="restart"/>
            <w:tcBorders>
              <w:top w:val="dotted" w:sz="4" w:space="0" w:color="auto"/>
              <w:left w:val="single" w:sz="12" w:space="0" w:color="auto"/>
              <w:right w:val="single" w:sz="12" w:space="0" w:color="auto"/>
            </w:tcBorders>
            <w:vAlign w:val="center"/>
            <w:hideMark/>
          </w:tcPr>
          <w:p w:rsidR="002760CA" w:rsidRDefault="002760CA" w:rsidP="00262064">
            <w:pPr>
              <w:keepNext/>
              <w:keepLines/>
              <w:tabs>
                <w:tab w:val="decimal" w:pos="-18"/>
              </w:tabs>
              <w:spacing w:before="20" w:after="20"/>
              <w:jc w:val="center"/>
            </w:pPr>
            <w:r>
              <w:t xml:space="preserve">30-operating-day rolling avg. </w:t>
            </w:r>
            <w:r>
              <w:rPr>
                <w:vertAlign w:val="superscript"/>
              </w:rPr>
              <w:t>d</w:t>
            </w:r>
          </w:p>
        </w:tc>
      </w:tr>
      <w:tr w:rsidR="002760CA" w:rsidTr="003330FD">
        <w:trPr>
          <w:trHeight w:val="633"/>
          <w:jc w:val="center"/>
        </w:trPr>
        <w:tc>
          <w:tcPr>
            <w:tcW w:w="1605" w:type="dxa"/>
            <w:vMerge/>
            <w:tcBorders>
              <w:left w:val="single" w:sz="12" w:space="0" w:color="auto"/>
              <w:bottom w:val="single" w:sz="12" w:space="0" w:color="auto"/>
              <w:right w:val="single" w:sz="12" w:space="0" w:color="auto"/>
            </w:tcBorders>
            <w:vAlign w:val="center"/>
            <w:hideMark/>
          </w:tcPr>
          <w:p w:rsidR="002760CA" w:rsidRDefault="002760CA" w:rsidP="00262064">
            <w:pPr>
              <w:spacing w:before="20" w:after="20"/>
              <w:jc w:val="center"/>
              <w:rPr>
                <w:u w:val="double"/>
              </w:rPr>
            </w:pPr>
          </w:p>
        </w:tc>
        <w:tc>
          <w:tcPr>
            <w:tcW w:w="2362" w:type="dxa"/>
            <w:tcBorders>
              <w:top w:val="single" w:sz="4" w:space="0" w:color="auto"/>
              <w:left w:val="single" w:sz="12" w:space="0" w:color="auto"/>
              <w:bottom w:val="single" w:sz="12" w:space="0" w:color="auto"/>
              <w:right w:val="single" w:sz="12" w:space="0" w:color="auto"/>
            </w:tcBorders>
            <w:vAlign w:val="center"/>
            <w:hideMark/>
          </w:tcPr>
          <w:p w:rsidR="002760CA" w:rsidRDefault="00F62677" w:rsidP="00262064">
            <w:pPr>
              <w:spacing w:before="20" w:after="20"/>
              <w:ind w:left="-108"/>
              <w:jc w:val="center"/>
              <w:rPr>
                <w:vertAlign w:val="subscript"/>
              </w:rPr>
            </w:pPr>
            <w:r>
              <w:t>96</w:t>
            </w:r>
            <w:r w:rsidR="002760CA">
              <w:t xml:space="preserve"> ppmvd @15% O</w:t>
            </w:r>
            <w:r w:rsidR="002760CA">
              <w:rPr>
                <w:vertAlign w:val="subscript"/>
              </w:rPr>
              <w:t>2</w:t>
            </w:r>
          </w:p>
          <w:p w:rsidR="002760CA" w:rsidRDefault="002760CA" w:rsidP="00262064">
            <w:pPr>
              <w:spacing w:before="20" w:after="20"/>
              <w:ind w:left="-108"/>
              <w:jc w:val="center"/>
              <w:rPr>
                <w:u w:val="double"/>
              </w:rPr>
            </w:pPr>
            <w:r>
              <w:t>(for turbine loads &lt; 75%)</w:t>
            </w:r>
          </w:p>
        </w:tc>
        <w:tc>
          <w:tcPr>
            <w:tcW w:w="1958" w:type="dxa"/>
            <w:vMerge/>
            <w:tcBorders>
              <w:left w:val="single" w:sz="12" w:space="0" w:color="auto"/>
              <w:bottom w:val="single" w:sz="12" w:space="0" w:color="auto"/>
              <w:right w:val="single" w:sz="12" w:space="0" w:color="auto"/>
            </w:tcBorders>
            <w:vAlign w:val="center"/>
            <w:hideMark/>
          </w:tcPr>
          <w:p w:rsidR="002760CA" w:rsidRDefault="002760CA" w:rsidP="00262064">
            <w:pPr>
              <w:spacing w:before="20" w:after="20"/>
              <w:ind w:left="-108"/>
              <w:jc w:val="center"/>
              <w:rPr>
                <w:u w:val="double"/>
              </w:rPr>
            </w:pPr>
          </w:p>
        </w:tc>
        <w:tc>
          <w:tcPr>
            <w:tcW w:w="2164" w:type="dxa"/>
            <w:vMerge/>
            <w:tcBorders>
              <w:left w:val="single" w:sz="12" w:space="0" w:color="auto"/>
              <w:bottom w:val="single" w:sz="12" w:space="0" w:color="auto"/>
              <w:right w:val="single" w:sz="12" w:space="0" w:color="auto"/>
            </w:tcBorders>
            <w:vAlign w:val="center"/>
            <w:hideMark/>
          </w:tcPr>
          <w:p w:rsidR="002760CA" w:rsidRDefault="002760CA" w:rsidP="00262064"/>
        </w:tc>
        <w:tc>
          <w:tcPr>
            <w:tcW w:w="1650" w:type="dxa"/>
            <w:vMerge/>
            <w:tcBorders>
              <w:left w:val="single" w:sz="12" w:space="0" w:color="auto"/>
              <w:bottom w:val="single" w:sz="12" w:space="0" w:color="auto"/>
              <w:right w:val="single" w:sz="12" w:space="0" w:color="auto"/>
            </w:tcBorders>
            <w:vAlign w:val="center"/>
          </w:tcPr>
          <w:p w:rsidR="002760CA" w:rsidRDefault="002760CA" w:rsidP="00262064">
            <w:pPr>
              <w:tabs>
                <w:tab w:val="decimal" w:pos="-18"/>
              </w:tabs>
              <w:spacing w:before="20" w:after="20"/>
              <w:jc w:val="center"/>
              <w:rPr>
                <w:u w:val="double"/>
              </w:rPr>
            </w:pPr>
          </w:p>
        </w:tc>
      </w:tr>
      <w:tr w:rsidR="00DC0CC5" w:rsidTr="003330FD">
        <w:trPr>
          <w:trHeight w:val="484"/>
          <w:jc w:val="center"/>
        </w:trPr>
        <w:tc>
          <w:tcPr>
            <w:tcW w:w="1605" w:type="dxa"/>
            <w:vMerge w:val="restart"/>
            <w:tcBorders>
              <w:top w:val="single" w:sz="12" w:space="0" w:color="auto"/>
              <w:left w:val="single" w:sz="12" w:space="0" w:color="auto"/>
              <w:right w:val="single" w:sz="12" w:space="0" w:color="auto"/>
            </w:tcBorders>
            <w:vAlign w:val="center"/>
            <w:hideMark/>
          </w:tcPr>
          <w:p w:rsidR="00DC0CC5" w:rsidRDefault="00DC0CC5" w:rsidP="00262064">
            <w:pPr>
              <w:spacing w:before="20" w:after="20"/>
              <w:jc w:val="center"/>
            </w:pPr>
            <w:r>
              <w:t>CO</w:t>
            </w:r>
          </w:p>
        </w:tc>
        <w:tc>
          <w:tcPr>
            <w:tcW w:w="2362" w:type="dxa"/>
            <w:tcBorders>
              <w:top w:val="single" w:sz="12" w:space="0" w:color="auto"/>
              <w:left w:val="single" w:sz="12" w:space="0" w:color="auto"/>
              <w:bottom w:val="dotted" w:sz="4" w:space="0" w:color="auto"/>
              <w:right w:val="single" w:sz="12" w:space="0" w:color="auto"/>
            </w:tcBorders>
            <w:vAlign w:val="center"/>
            <w:hideMark/>
          </w:tcPr>
          <w:p w:rsidR="00DC0CC5" w:rsidRDefault="00DC0CC5" w:rsidP="00262064">
            <w:pPr>
              <w:spacing w:before="20" w:after="20"/>
              <w:ind w:left="-108"/>
              <w:jc w:val="center"/>
              <w:rPr>
                <w:vertAlign w:val="superscript"/>
              </w:rPr>
            </w:pPr>
            <w:r>
              <w:t>4.3 ppmvd @15% O</w:t>
            </w:r>
            <w:r>
              <w:rPr>
                <w:vertAlign w:val="subscript"/>
              </w:rPr>
              <w:t>2</w:t>
            </w:r>
            <w:r>
              <w:rPr>
                <w:vertAlign w:val="superscript"/>
              </w:rPr>
              <w:t xml:space="preserve"> </w:t>
            </w:r>
          </w:p>
          <w:p w:rsidR="00DC0CC5" w:rsidRDefault="00DC0CC5" w:rsidP="00262064">
            <w:pPr>
              <w:spacing w:before="20" w:after="20"/>
              <w:ind w:left="-108"/>
              <w:jc w:val="center"/>
            </w:pPr>
            <w:r>
              <w:t xml:space="preserve">(for turbine loads </w:t>
            </w:r>
            <w:r>
              <w:rPr>
                <w:sz w:val="24"/>
                <w:szCs w:val="24"/>
              </w:rPr>
              <w:t>≥</w:t>
            </w:r>
            <w:r>
              <w:t xml:space="preserve"> 90%)</w:t>
            </w:r>
          </w:p>
        </w:tc>
        <w:tc>
          <w:tcPr>
            <w:tcW w:w="1958" w:type="dxa"/>
            <w:vMerge w:val="restart"/>
            <w:tcBorders>
              <w:top w:val="single" w:sz="12" w:space="0" w:color="auto"/>
              <w:left w:val="single" w:sz="12" w:space="0" w:color="auto"/>
              <w:right w:val="single" w:sz="12" w:space="0" w:color="auto"/>
            </w:tcBorders>
            <w:vAlign w:val="center"/>
            <w:hideMark/>
          </w:tcPr>
          <w:p w:rsidR="00DC0CC5" w:rsidRDefault="00DC0CC5" w:rsidP="00262064">
            <w:pPr>
              <w:spacing w:before="20" w:after="20"/>
              <w:jc w:val="center"/>
            </w:pPr>
            <w:r>
              <w:t>BACT</w:t>
            </w:r>
          </w:p>
        </w:tc>
        <w:tc>
          <w:tcPr>
            <w:tcW w:w="2164" w:type="dxa"/>
            <w:vMerge w:val="restart"/>
            <w:tcBorders>
              <w:top w:val="single" w:sz="12" w:space="0" w:color="auto"/>
              <w:left w:val="single" w:sz="12" w:space="0" w:color="auto"/>
              <w:right w:val="single" w:sz="12" w:space="0" w:color="auto"/>
            </w:tcBorders>
            <w:vAlign w:val="center"/>
            <w:hideMark/>
          </w:tcPr>
          <w:p w:rsidR="00DC0CC5" w:rsidRDefault="00DC0CC5" w:rsidP="00262064">
            <w:pPr>
              <w:spacing w:before="20" w:after="20"/>
              <w:jc w:val="center"/>
            </w:pPr>
            <w:r>
              <w:t>Initial and annual stack tests</w:t>
            </w:r>
          </w:p>
        </w:tc>
        <w:tc>
          <w:tcPr>
            <w:tcW w:w="1650" w:type="dxa"/>
            <w:vMerge w:val="restart"/>
            <w:tcBorders>
              <w:top w:val="single" w:sz="12" w:space="0" w:color="auto"/>
              <w:left w:val="single" w:sz="12" w:space="0" w:color="auto"/>
              <w:right w:val="single" w:sz="12" w:space="0" w:color="auto"/>
            </w:tcBorders>
            <w:vAlign w:val="center"/>
            <w:hideMark/>
          </w:tcPr>
          <w:p w:rsidR="00DC0CC5" w:rsidRDefault="00DC0CC5" w:rsidP="00262064">
            <w:pPr>
              <w:spacing w:before="20" w:after="20"/>
              <w:jc w:val="center"/>
            </w:pPr>
            <w:r>
              <w:t>Three 1-hr runs</w:t>
            </w:r>
          </w:p>
        </w:tc>
      </w:tr>
      <w:tr w:rsidR="00DC0CC5" w:rsidTr="003330FD">
        <w:trPr>
          <w:trHeight w:val="272"/>
          <w:jc w:val="center"/>
        </w:trPr>
        <w:tc>
          <w:tcPr>
            <w:tcW w:w="1605" w:type="dxa"/>
            <w:vMerge/>
            <w:tcBorders>
              <w:left w:val="single" w:sz="12" w:space="0" w:color="auto"/>
              <w:right w:val="single" w:sz="12" w:space="0" w:color="auto"/>
            </w:tcBorders>
            <w:vAlign w:val="center"/>
            <w:hideMark/>
          </w:tcPr>
          <w:p w:rsidR="00DC0CC5" w:rsidRDefault="00DC0CC5" w:rsidP="00262064"/>
        </w:tc>
        <w:tc>
          <w:tcPr>
            <w:tcW w:w="2362" w:type="dxa"/>
            <w:tcBorders>
              <w:top w:val="single" w:sz="6" w:space="0" w:color="auto"/>
              <w:left w:val="single" w:sz="12" w:space="0" w:color="auto"/>
              <w:bottom w:val="single" w:sz="4" w:space="0" w:color="auto"/>
              <w:right w:val="single" w:sz="12" w:space="0" w:color="auto"/>
            </w:tcBorders>
            <w:vAlign w:val="center"/>
            <w:hideMark/>
          </w:tcPr>
          <w:p w:rsidR="00DC0CC5" w:rsidRDefault="00DC0CC5" w:rsidP="00262064">
            <w:pPr>
              <w:spacing w:before="20" w:after="20"/>
              <w:ind w:left="-108"/>
              <w:jc w:val="center"/>
              <w:rPr>
                <w:vertAlign w:val="superscript"/>
              </w:rPr>
            </w:pPr>
            <w:r>
              <w:t>7.1 ppmvd @15% O</w:t>
            </w:r>
            <w:r>
              <w:rPr>
                <w:vertAlign w:val="subscript"/>
              </w:rPr>
              <w:t>2</w:t>
            </w:r>
            <w:r>
              <w:rPr>
                <w:vertAlign w:val="superscript"/>
              </w:rPr>
              <w:t xml:space="preserve"> </w:t>
            </w:r>
          </w:p>
          <w:p w:rsidR="00DC0CC5" w:rsidRDefault="00DC0CC5" w:rsidP="00262064">
            <w:pPr>
              <w:spacing w:before="20" w:after="20"/>
              <w:ind w:left="-108"/>
              <w:jc w:val="center"/>
            </w:pPr>
            <w:r>
              <w:t xml:space="preserve">(for turbine loads </w:t>
            </w:r>
            <w:r>
              <w:rPr>
                <w:sz w:val="24"/>
                <w:szCs w:val="24"/>
              </w:rPr>
              <w:t>&lt;</w:t>
            </w:r>
            <w:r>
              <w:t xml:space="preserve"> 90%)</w:t>
            </w:r>
          </w:p>
        </w:tc>
        <w:tc>
          <w:tcPr>
            <w:tcW w:w="1958" w:type="dxa"/>
            <w:vMerge/>
            <w:tcBorders>
              <w:left w:val="single" w:sz="12" w:space="0" w:color="auto"/>
              <w:right w:val="single" w:sz="12" w:space="0" w:color="auto"/>
            </w:tcBorders>
            <w:vAlign w:val="center"/>
            <w:hideMark/>
          </w:tcPr>
          <w:p w:rsidR="00DC0CC5" w:rsidRDefault="00DC0CC5" w:rsidP="00262064"/>
        </w:tc>
        <w:tc>
          <w:tcPr>
            <w:tcW w:w="2164" w:type="dxa"/>
            <w:vMerge/>
            <w:tcBorders>
              <w:left w:val="single" w:sz="12" w:space="0" w:color="auto"/>
              <w:right w:val="single" w:sz="12" w:space="0" w:color="auto"/>
            </w:tcBorders>
            <w:vAlign w:val="center"/>
            <w:hideMark/>
          </w:tcPr>
          <w:p w:rsidR="00DC0CC5" w:rsidRDefault="00DC0CC5" w:rsidP="00262064"/>
        </w:tc>
        <w:tc>
          <w:tcPr>
            <w:tcW w:w="1650" w:type="dxa"/>
            <w:vMerge/>
            <w:tcBorders>
              <w:left w:val="single" w:sz="12" w:space="0" w:color="auto"/>
              <w:right w:val="single" w:sz="12" w:space="0" w:color="auto"/>
            </w:tcBorders>
            <w:vAlign w:val="center"/>
            <w:hideMark/>
          </w:tcPr>
          <w:p w:rsidR="00DC0CC5" w:rsidRDefault="00DC0CC5" w:rsidP="00262064"/>
        </w:tc>
      </w:tr>
      <w:tr w:rsidR="00DC0CC5" w:rsidTr="003330FD">
        <w:trPr>
          <w:trHeight w:val="435"/>
          <w:jc w:val="center"/>
        </w:trPr>
        <w:tc>
          <w:tcPr>
            <w:tcW w:w="1605" w:type="dxa"/>
            <w:vMerge/>
            <w:tcBorders>
              <w:left w:val="single" w:sz="12" w:space="0" w:color="auto"/>
              <w:bottom w:val="single" w:sz="12" w:space="0" w:color="auto"/>
              <w:right w:val="single" w:sz="12" w:space="0" w:color="auto"/>
            </w:tcBorders>
            <w:vAlign w:val="center"/>
          </w:tcPr>
          <w:p w:rsidR="00DC0CC5" w:rsidRDefault="00DC0CC5" w:rsidP="00262064"/>
        </w:tc>
        <w:tc>
          <w:tcPr>
            <w:tcW w:w="2362" w:type="dxa"/>
            <w:tcBorders>
              <w:top w:val="single" w:sz="4" w:space="0" w:color="auto"/>
              <w:left w:val="single" w:sz="12" w:space="0" w:color="auto"/>
              <w:bottom w:val="single" w:sz="12" w:space="0" w:color="auto"/>
              <w:right w:val="single" w:sz="12" w:space="0" w:color="auto"/>
            </w:tcBorders>
            <w:vAlign w:val="center"/>
          </w:tcPr>
          <w:p w:rsidR="00DC0CC5" w:rsidRPr="007F26EA" w:rsidRDefault="00DC0CC5" w:rsidP="00262064">
            <w:pPr>
              <w:spacing w:before="20" w:after="20"/>
              <w:ind w:left="-108"/>
              <w:jc w:val="center"/>
            </w:pPr>
            <w:r w:rsidRPr="007F26EA">
              <w:t>6.5 ppmvd @15% O</w:t>
            </w:r>
            <w:r w:rsidRPr="007F26EA">
              <w:rPr>
                <w:vertAlign w:val="subscript"/>
              </w:rPr>
              <w:t>2</w:t>
            </w:r>
          </w:p>
          <w:p w:rsidR="00DC0CC5" w:rsidRPr="001E2C06" w:rsidRDefault="00DC0CC5" w:rsidP="00262064">
            <w:pPr>
              <w:spacing w:before="20" w:after="20"/>
              <w:ind w:left="-108"/>
              <w:jc w:val="center"/>
              <w:rPr>
                <w:highlight w:val="yellow"/>
              </w:rPr>
            </w:pPr>
            <w:r w:rsidRPr="007F26EA">
              <w:t>(when duct firing)</w:t>
            </w:r>
          </w:p>
        </w:tc>
        <w:tc>
          <w:tcPr>
            <w:tcW w:w="1958" w:type="dxa"/>
            <w:vMerge/>
            <w:tcBorders>
              <w:left w:val="single" w:sz="12" w:space="0" w:color="auto"/>
              <w:bottom w:val="single" w:sz="12" w:space="0" w:color="auto"/>
              <w:right w:val="single" w:sz="12" w:space="0" w:color="auto"/>
            </w:tcBorders>
            <w:vAlign w:val="center"/>
          </w:tcPr>
          <w:p w:rsidR="00DC0CC5" w:rsidRDefault="00DC0CC5" w:rsidP="00262064"/>
        </w:tc>
        <w:tc>
          <w:tcPr>
            <w:tcW w:w="2164" w:type="dxa"/>
            <w:vMerge/>
            <w:tcBorders>
              <w:left w:val="single" w:sz="12" w:space="0" w:color="auto"/>
              <w:bottom w:val="single" w:sz="12" w:space="0" w:color="auto"/>
              <w:right w:val="single" w:sz="12" w:space="0" w:color="auto"/>
            </w:tcBorders>
            <w:vAlign w:val="center"/>
          </w:tcPr>
          <w:p w:rsidR="00DC0CC5" w:rsidRDefault="00DC0CC5" w:rsidP="00262064"/>
        </w:tc>
        <w:tc>
          <w:tcPr>
            <w:tcW w:w="1650" w:type="dxa"/>
            <w:vMerge/>
            <w:tcBorders>
              <w:left w:val="single" w:sz="12" w:space="0" w:color="auto"/>
              <w:bottom w:val="single" w:sz="12" w:space="0" w:color="auto"/>
              <w:right w:val="single" w:sz="12" w:space="0" w:color="auto"/>
            </w:tcBorders>
            <w:vAlign w:val="center"/>
          </w:tcPr>
          <w:p w:rsidR="00DC0CC5" w:rsidRDefault="00DC0CC5" w:rsidP="00262064"/>
        </w:tc>
      </w:tr>
      <w:tr w:rsidR="00DC0CC5" w:rsidTr="003330FD">
        <w:trPr>
          <w:trHeight w:val="402"/>
          <w:jc w:val="center"/>
        </w:trPr>
        <w:tc>
          <w:tcPr>
            <w:tcW w:w="1605" w:type="dxa"/>
            <w:vMerge w:val="restart"/>
            <w:tcBorders>
              <w:top w:val="single" w:sz="12" w:space="0" w:color="auto"/>
              <w:left w:val="single" w:sz="12" w:space="0" w:color="auto"/>
              <w:bottom w:val="single" w:sz="6" w:space="0" w:color="auto"/>
              <w:right w:val="single" w:sz="12" w:space="0" w:color="auto"/>
            </w:tcBorders>
            <w:vAlign w:val="center"/>
            <w:hideMark/>
          </w:tcPr>
          <w:p w:rsidR="00DC0CC5" w:rsidRDefault="00DC0CC5" w:rsidP="00262064">
            <w:pPr>
              <w:spacing w:before="20" w:after="20"/>
              <w:ind w:left="-18"/>
              <w:jc w:val="center"/>
            </w:pPr>
            <w:r>
              <w:t>PM/PM</w:t>
            </w:r>
            <w:r>
              <w:rPr>
                <w:vertAlign w:val="subscript"/>
              </w:rPr>
              <w:t>10</w:t>
            </w:r>
            <w:r>
              <w:t>/PM</w:t>
            </w:r>
            <w:r>
              <w:rPr>
                <w:vertAlign w:val="subscript"/>
              </w:rPr>
              <w:t>2.5</w:t>
            </w:r>
            <w:r>
              <w:rPr>
                <w:sz w:val="24"/>
                <w:szCs w:val="24"/>
              </w:rPr>
              <w:t xml:space="preserve"> </w:t>
            </w:r>
            <w:r>
              <w:rPr>
                <w:sz w:val="24"/>
                <w:szCs w:val="24"/>
                <w:vertAlign w:val="superscript"/>
              </w:rPr>
              <w:t>e</w:t>
            </w:r>
          </w:p>
        </w:tc>
        <w:tc>
          <w:tcPr>
            <w:tcW w:w="2362" w:type="dxa"/>
            <w:tcBorders>
              <w:top w:val="single" w:sz="12" w:space="0" w:color="auto"/>
              <w:left w:val="single" w:sz="12" w:space="0" w:color="auto"/>
              <w:bottom w:val="single" w:sz="4" w:space="0" w:color="auto"/>
              <w:right w:val="single" w:sz="12" w:space="0" w:color="auto"/>
            </w:tcBorders>
            <w:hideMark/>
          </w:tcPr>
          <w:p w:rsidR="00DC0CC5" w:rsidRDefault="00DC0CC5" w:rsidP="00262064">
            <w:pPr>
              <w:pStyle w:val="EndnoteText"/>
              <w:spacing w:before="20" w:after="20"/>
              <w:ind w:left="-18"/>
              <w:jc w:val="center"/>
              <w:rPr>
                <w:vertAlign w:val="superscript"/>
              </w:rPr>
            </w:pPr>
            <w:r>
              <w:rPr>
                <w:color w:val="000000"/>
              </w:rPr>
              <w:t>2.0 gr. sulfur/100 SCF natural gas</w:t>
            </w:r>
          </w:p>
        </w:tc>
        <w:tc>
          <w:tcPr>
            <w:tcW w:w="1958" w:type="dxa"/>
            <w:vMerge w:val="restart"/>
            <w:tcBorders>
              <w:top w:val="single" w:sz="12" w:space="0" w:color="auto"/>
              <w:left w:val="single" w:sz="12" w:space="0" w:color="auto"/>
              <w:bottom w:val="single" w:sz="6"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rPr>
              <w:t>BACT</w:t>
            </w:r>
          </w:p>
        </w:tc>
        <w:tc>
          <w:tcPr>
            <w:tcW w:w="2164" w:type="dxa"/>
            <w:tcBorders>
              <w:top w:val="single" w:sz="12" w:space="0" w:color="auto"/>
              <w:left w:val="single" w:sz="12" w:space="0" w:color="auto"/>
              <w:bottom w:val="dotted" w:sz="4"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caps w:val="0"/>
                <w:sz w:val="20"/>
              </w:rPr>
              <w:t>Fuel Record Keeping</w:t>
            </w:r>
          </w:p>
        </w:tc>
        <w:tc>
          <w:tcPr>
            <w:tcW w:w="1650" w:type="dxa"/>
            <w:tcBorders>
              <w:top w:val="single" w:sz="12" w:space="0" w:color="auto"/>
              <w:left w:val="single" w:sz="12" w:space="0" w:color="auto"/>
              <w:bottom w:val="dotted" w:sz="4" w:space="0" w:color="auto"/>
              <w:right w:val="single" w:sz="12" w:space="0" w:color="auto"/>
            </w:tcBorders>
            <w:vAlign w:val="center"/>
            <w:hideMark/>
          </w:tcPr>
          <w:p w:rsidR="00DC0CC5" w:rsidRDefault="00DC0CC5" w:rsidP="00262064">
            <w:pPr>
              <w:pStyle w:val="EndnoteText"/>
              <w:tabs>
                <w:tab w:val="decimal" w:pos="-18"/>
              </w:tabs>
              <w:spacing w:before="20" w:after="20"/>
              <w:jc w:val="center"/>
            </w:pPr>
            <w:r>
              <w:t>N/A</w:t>
            </w:r>
          </w:p>
        </w:tc>
      </w:tr>
      <w:tr w:rsidR="00DC0CC5" w:rsidTr="003330FD">
        <w:trPr>
          <w:trHeight w:val="237"/>
          <w:jc w:val="center"/>
        </w:trPr>
        <w:tc>
          <w:tcPr>
            <w:tcW w:w="1605" w:type="dxa"/>
            <w:vMerge/>
            <w:tcBorders>
              <w:top w:val="single" w:sz="6" w:space="0" w:color="auto"/>
              <w:left w:val="single" w:sz="12" w:space="0" w:color="auto"/>
              <w:bottom w:val="single" w:sz="12" w:space="0" w:color="auto"/>
              <w:right w:val="single" w:sz="12" w:space="0" w:color="auto"/>
            </w:tcBorders>
            <w:vAlign w:val="center"/>
            <w:hideMark/>
          </w:tcPr>
          <w:p w:rsidR="00DC0CC5" w:rsidRDefault="00DC0CC5" w:rsidP="00262064"/>
        </w:tc>
        <w:tc>
          <w:tcPr>
            <w:tcW w:w="2362" w:type="dxa"/>
            <w:tcBorders>
              <w:top w:val="single" w:sz="4" w:space="0" w:color="auto"/>
              <w:left w:val="single" w:sz="12" w:space="0" w:color="auto"/>
              <w:bottom w:val="single" w:sz="12" w:space="0" w:color="auto"/>
              <w:right w:val="single" w:sz="12" w:space="0" w:color="auto"/>
            </w:tcBorders>
            <w:vAlign w:val="center"/>
            <w:hideMark/>
          </w:tcPr>
          <w:p w:rsidR="00DC0CC5" w:rsidRDefault="00931A1A" w:rsidP="00262064">
            <w:pPr>
              <w:pStyle w:val="EndnoteText"/>
              <w:spacing w:before="20" w:after="20"/>
              <w:ind w:left="-108"/>
              <w:jc w:val="center"/>
            </w:pPr>
            <w:r>
              <w:t>10 percent opacity</w:t>
            </w:r>
            <w:r>
              <w:br/>
              <w:t>(Visible Emissions)</w:t>
            </w:r>
          </w:p>
        </w:tc>
        <w:tc>
          <w:tcPr>
            <w:tcW w:w="1958" w:type="dxa"/>
            <w:vMerge/>
            <w:tcBorders>
              <w:top w:val="single" w:sz="6" w:space="0" w:color="auto"/>
              <w:left w:val="single" w:sz="12" w:space="0" w:color="auto"/>
              <w:bottom w:val="single" w:sz="12" w:space="0" w:color="auto"/>
              <w:right w:val="single" w:sz="12" w:space="0" w:color="auto"/>
            </w:tcBorders>
            <w:vAlign w:val="center"/>
            <w:hideMark/>
          </w:tcPr>
          <w:p w:rsidR="00DC0CC5" w:rsidRDefault="00DC0CC5" w:rsidP="00262064"/>
        </w:tc>
        <w:tc>
          <w:tcPr>
            <w:tcW w:w="2164" w:type="dxa"/>
            <w:tcBorders>
              <w:top w:val="dotted" w:sz="4" w:space="0" w:color="auto"/>
              <w:left w:val="single" w:sz="12" w:space="0" w:color="auto"/>
              <w:bottom w:val="single" w:sz="12"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caps w:val="0"/>
                <w:sz w:val="20"/>
              </w:rPr>
              <w:t>Annual</w:t>
            </w:r>
            <w:r w:rsidR="00931A1A">
              <w:rPr>
                <w:b w:val="0"/>
                <w:caps w:val="0"/>
                <w:sz w:val="20"/>
              </w:rPr>
              <w:t xml:space="preserve"> Stack</w:t>
            </w:r>
            <w:r>
              <w:rPr>
                <w:b w:val="0"/>
                <w:caps w:val="0"/>
                <w:sz w:val="20"/>
              </w:rPr>
              <w:t xml:space="preserve"> Test</w:t>
            </w:r>
            <w:r>
              <w:rPr>
                <w:b w:val="0"/>
                <w:caps w:val="0"/>
                <w:sz w:val="20"/>
                <w:vertAlign w:val="superscript"/>
              </w:rPr>
              <w:t xml:space="preserve"> </w:t>
            </w:r>
            <w:r>
              <w:rPr>
                <w:b w:val="0"/>
                <w:caps w:val="0"/>
                <w:sz w:val="24"/>
                <w:szCs w:val="24"/>
                <w:vertAlign w:val="superscript"/>
              </w:rPr>
              <w:t>f</w:t>
            </w:r>
          </w:p>
        </w:tc>
        <w:tc>
          <w:tcPr>
            <w:tcW w:w="1650" w:type="dxa"/>
            <w:tcBorders>
              <w:top w:val="dotted" w:sz="4" w:space="0" w:color="auto"/>
              <w:left w:val="single" w:sz="12" w:space="0" w:color="auto"/>
              <w:bottom w:val="single" w:sz="12" w:space="0" w:color="auto"/>
              <w:right w:val="single" w:sz="12" w:space="0" w:color="auto"/>
            </w:tcBorders>
            <w:vAlign w:val="center"/>
            <w:hideMark/>
          </w:tcPr>
          <w:p w:rsidR="00DC0CC5" w:rsidRDefault="00DC0CC5" w:rsidP="00262064">
            <w:pPr>
              <w:pStyle w:val="EndnoteText"/>
              <w:tabs>
                <w:tab w:val="decimal" w:pos="-18"/>
              </w:tabs>
              <w:spacing w:before="20" w:after="20"/>
              <w:jc w:val="center"/>
            </w:pPr>
            <w:r>
              <w:t>6-minute block</w:t>
            </w:r>
          </w:p>
        </w:tc>
      </w:tr>
      <w:tr w:rsidR="00DC0CC5" w:rsidTr="003330FD">
        <w:trPr>
          <w:trHeight w:val="492"/>
          <w:jc w:val="center"/>
        </w:trPr>
        <w:tc>
          <w:tcPr>
            <w:tcW w:w="1605" w:type="dxa"/>
            <w:tcBorders>
              <w:top w:val="single" w:sz="12" w:space="0" w:color="auto"/>
              <w:left w:val="single" w:sz="12" w:space="0" w:color="auto"/>
              <w:bottom w:val="single" w:sz="12" w:space="0" w:color="auto"/>
              <w:right w:val="single" w:sz="12" w:space="0" w:color="auto"/>
            </w:tcBorders>
            <w:vAlign w:val="center"/>
            <w:hideMark/>
          </w:tcPr>
          <w:p w:rsidR="00DC0CC5" w:rsidRDefault="00DC0CC5" w:rsidP="00262064">
            <w:pPr>
              <w:suppressAutoHyphens/>
              <w:spacing w:before="20" w:after="20"/>
              <w:jc w:val="center"/>
            </w:pPr>
            <w:r>
              <w:t>SO</w:t>
            </w:r>
            <w:r>
              <w:rPr>
                <w:vertAlign w:val="subscript"/>
              </w:rPr>
              <w:t>2</w:t>
            </w:r>
            <w:r>
              <w:t xml:space="preserve"> and SAM</w:t>
            </w:r>
          </w:p>
        </w:tc>
        <w:tc>
          <w:tcPr>
            <w:tcW w:w="2362" w:type="dxa"/>
            <w:tcBorders>
              <w:top w:val="single" w:sz="12" w:space="0" w:color="auto"/>
              <w:left w:val="single" w:sz="12" w:space="0" w:color="auto"/>
              <w:bottom w:val="single" w:sz="12" w:space="0" w:color="auto"/>
              <w:right w:val="single" w:sz="12" w:space="0" w:color="auto"/>
            </w:tcBorders>
            <w:vAlign w:val="center"/>
            <w:hideMark/>
          </w:tcPr>
          <w:p w:rsidR="00DC0CC5" w:rsidRDefault="00DC0CC5" w:rsidP="00262064">
            <w:pPr>
              <w:suppressAutoHyphens/>
              <w:spacing w:before="20" w:after="20"/>
              <w:ind w:left="-18"/>
              <w:jc w:val="center"/>
            </w:pPr>
            <w:r>
              <w:rPr>
                <w:color w:val="000000"/>
              </w:rPr>
              <w:t>2.0 gr. sulfur/100 SCF natural gas</w:t>
            </w:r>
          </w:p>
        </w:tc>
        <w:tc>
          <w:tcPr>
            <w:tcW w:w="1958" w:type="dxa"/>
            <w:tcBorders>
              <w:top w:val="single" w:sz="12" w:space="0" w:color="auto"/>
              <w:left w:val="single" w:sz="12" w:space="0" w:color="auto"/>
              <w:bottom w:val="single" w:sz="12"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caps w:val="0"/>
                <w:sz w:val="20"/>
              </w:rPr>
              <w:t>BACT</w:t>
            </w:r>
          </w:p>
        </w:tc>
        <w:tc>
          <w:tcPr>
            <w:tcW w:w="2164" w:type="dxa"/>
            <w:tcBorders>
              <w:top w:val="single" w:sz="12" w:space="0" w:color="auto"/>
              <w:left w:val="single" w:sz="12" w:space="0" w:color="auto"/>
              <w:bottom w:val="single" w:sz="12" w:space="0" w:color="auto"/>
              <w:right w:val="single" w:sz="12" w:space="0" w:color="auto"/>
            </w:tcBorders>
            <w:vAlign w:val="center"/>
            <w:hideMark/>
          </w:tcPr>
          <w:p w:rsidR="00DC0CC5" w:rsidRDefault="00DC0CC5" w:rsidP="00262064">
            <w:pPr>
              <w:suppressAutoHyphens/>
              <w:spacing w:before="20" w:after="20"/>
              <w:jc w:val="center"/>
            </w:pPr>
            <w:r>
              <w:t>Fuel Record Keeping</w:t>
            </w:r>
          </w:p>
        </w:tc>
        <w:tc>
          <w:tcPr>
            <w:tcW w:w="1650" w:type="dxa"/>
            <w:tcBorders>
              <w:top w:val="single" w:sz="12" w:space="0" w:color="auto"/>
              <w:left w:val="single" w:sz="12" w:space="0" w:color="auto"/>
              <w:bottom w:val="single" w:sz="12" w:space="0" w:color="auto"/>
              <w:right w:val="single" w:sz="12" w:space="0" w:color="auto"/>
            </w:tcBorders>
            <w:vAlign w:val="center"/>
            <w:hideMark/>
          </w:tcPr>
          <w:p w:rsidR="00DC0CC5" w:rsidRDefault="00DC0CC5" w:rsidP="00262064">
            <w:pPr>
              <w:spacing w:before="20" w:after="20"/>
              <w:jc w:val="center"/>
            </w:pPr>
            <w:r>
              <w:t>N/A</w:t>
            </w:r>
          </w:p>
        </w:tc>
      </w:tr>
      <w:tr w:rsidR="00DC0CC5" w:rsidTr="003330FD">
        <w:trPr>
          <w:trHeight w:val="357"/>
          <w:jc w:val="center"/>
        </w:trPr>
        <w:tc>
          <w:tcPr>
            <w:tcW w:w="1605" w:type="dxa"/>
            <w:vMerge w:val="restart"/>
            <w:tcBorders>
              <w:top w:val="single" w:sz="12" w:space="0" w:color="auto"/>
              <w:left w:val="single" w:sz="12" w:space="0" w:color="auto"/>
              <w:right w:val="single" w:sz="12" w:space="0" w:color="auto"/>
            </w:tcBorders>
            <w:vAlign w:val="center"/>
            <w:hideMark/>
          </w:tcPr>
          <w:p w:rsidR="00DC0CC5" w:rsidRDefault="00DC0CC5" w:rsidP="00262064">
            <w:pPr>
              <w:suppressAutoHyphens/>
              <w:spacing w:before="20" w:after="20"/>
              <w:jc w:val="center"/>
            </w:pPr>
            <w:r>
              <w:t>GHGs</w:t>
            </w:r>
          </w:p>
        </w:tc>
        <w:tc>
          <w:tcPr>
            <w:tcW w:w="2362" w:type="dxa"/>
            <w:tcBorders>
              <w:top w:val="single" w:sz="12" w:space="0" w:color="auto"/>
              <w:left w:val="single" w:sz="12" w:space="0" w:color="auto"/>
              <w:right w:val="single" w:sz="12" w:space="0" w:color="auto"/>
            </w:tcBorders>
            <w:vAlign w:val="center"/>
            <w:hideMark/>
          </w:tcPr>
          <w:p w:rsidR="00DC0CC5" w:rsidRDefault="00DC0CC5" w:rsidP="00262064">
            <w:pPr>
              <w:suppressAutoHyphens/>
              <w:spacing w:before="20" w:after="20"/>
              <w:ind w:left="-18"/>
              <w:jc w:val="center"/>
              <w:rPr>
                <w:color w:val="000000"/>
              </w:rPr>
            </w:pPr>
            <w:r>
              <w:rPr>
                <w:color w:val="000000"/>
              </w:rPr>
              <w:t>875 lb/MWh</w:t>
            </w:r>
          </w:p>
        </w:tc>
        <w:tc>
          <w:tcPr>
            <w:tcW w:w="1958" w:type="dxa"/>
            <w:tcBorders>
              <w:top w:val="single" w:sz="12" w:space="0" w:color="auto"/>
              <w:left w:val="single" w:sz="12" w:space="0" w:color="auto"/>
              <w:bottom w:val="single" w:sz="6"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caps w:val="0"/>
                <w:sz w:val="20"/>
              </w:rPr>
              <w:t>Primary BACT</w:t>
            </w:r>
          </w:p>
        </w:tc>
        <w:tc>
          <w:tcPr>
            <w:tcW w:w="2164" w:type="dxa"/>
            <w:vMerge w:val="restart"/>
            <w:tcBorders>
              <w:top w:val="single" w:sz="12" w:space="0" w:color="auto"/>
              <w:left w:val="single" w:sz="12" w:space="0" w:color="auto"/>
              <w:bottom w:val="single" w:sz="6" w:space="0" w:color="auto"/>
              <w:right w:val="single" w:sz="12" w:space="0" w:color="auto"/>
            </w:tcBorders>
            <w:vAlign w:val="center"/>
            <w:hideMark/>
          </w:tcPr>
          <w:p w:rsidR="00DC0CC5" w:rsidRDefault="00DC0CC5" w:rsidP="00262064">
            <w:pPr>
              <w:suppressAutoHyphens/>
              <w:spacing w:before="20" w:after="20"/>
              <w:jc w:val="center"/>
            </w:pPr>
            <w:r>
              <w:t>CEMS or fuel-use monitoring</w:t>
            </w:r>
            <w:r w:rsidR="00277AF3">
              <w:t xml:space="preserve"> </w:t>
            </w:r>
            <w:r>
              <w:rPr>
                <w:vertAlign w:val="superscript"/>
              </w:rPr>
              <w:t>g</w:t>
            </w:r>
          </w:p>
          <w:p w:rsidR="00DC0CC5" w:rsidRDefault="00DC0CC5" w:rsidP="00262064">
            <w:pPr>
              <w:suppressAutoHyphens/>
              <w:spacing w:before="20" w:after="20"/>
              <w:jc w:val="center"/>
            </w:pPr>
            <w:r>
              <w:t>(40 CFR 75)</w:t>
            </w:r>
          </w:p>
        </w:tc>
        <w:tc>
          <w:tcPr>
            <w:tcW w:w="1650" w:type="dxa"/>
            <w:vMerge w:val="restart"/>
            <w:tcBorders>
              <w:top w:val="single" w:sz="12" w:space="0" w:color="auto"/>
              <w:left w:val="single" w:sz="12" w:space="0" w:color="auto"/>
              <w:bottom w:val="single" w:sz="6" w:space="0" w:color="auto"/>
              <w:right w:val="single" w:sz="12" w:space="0" w:color="auto"/>
            </w:tcBorders>
            <w:vAlign w:val="center"/>
            <w:hideMark/>
          </w:tcPr>
          <w:p w:rsidR="00DC0CC5" w:rsidRDefault="00DC0CC5" w:rsidP="00262064">
            <w:pPr>
              <w:spacing w:before="20" w:after="20"/>
              <w:jc w:val="center"/>
            </w:pPr>
            <w:r>
              <w:t>12-operating-month</w:t>
            </w:r>
          </w:p>
          <w:p w:rsidR="00DC0CC5" w:rsidRDefault="00DC0CC5" w:rsidP="00262064">
            <w:pPr>
              <w:spacing w:before="20" w:after="20"/>
              <w:jc w:val="center"/>
            </w:pPr>
            <w:r>
              <w:t>rolling avg.</w:t>
            </w:r>
            <w:r>
              <w:rPr>
                <w:vertAlign w:val="superscript"/>
              </w:rPr>
              <w:t>h</w:t>
            </w:r>
          </w:p>
        </w:tc>
      </w:tr>
      <w:tr w:rsidR="00DC0CC5" w:rsidTr="003330FD">
        <w:trPr>
          <w:trHeight w:val="255"/>
          <w:jc w:val="center"/>
        </w:trPr>
        <w:tc>
          <w:tcPr>
            <w:tcW w:w="1605" w:type="dxa"/>
            <w:vMerge/>
            <w:tcBorders>
              <w:left w:val="single" w:sz="12" w:space="0" w:color="auto"/>
              <w:bottom w:val="single" w:sz="12" w:space="0" w:color="auto"/>
              <w:right w:val="single" w:sz="12" w:space="0" w:color="auto"/>
            </w:tcBorders>
            <w:vAlign w:val="center"/>
            <w:hideMark/>
          </w:tcPr>
          <w:p w:rsidR="00DC0CC5" w:rsidRDefault="00DC0CC5" w:rsidP="00262064">
            <w:pPr>
              <w:suppressAutoHyphens/>
              <w:spacing w:before="20" w:after="20"/>
              <w:jc w:val="center"/>
            </w:pPr>
          </w:p>
        </w:tc>
        <w:tc>
          <w:tcPr>
            <w:tcW w:w="2362" w:type="dxa"/>
            <w:tcBorders>
              <w:top w:val="single" w:sz="4" w:space="0" w:color="auto"/>
              <w:left w:val="single" w:sz="12" w:space="0" w:color="auto"/>
              <w:bottom w:val="single" w:sz="12" w:space="0" w:color="auto"/>
              <w:right w:val="single" w:sz="12" w:space="0" w:color="auto"/>
            </w:tcBorders>
            <w:vAlign w:val="center"/>
            <w:hideMark/>
          </w:tcPr>
          <w:p w:rsidR="00DC0CC5" w:rsidRDefault="00DC0CC5" w:rsidP="00262064">
            <w:pPr>
              <w:suppressAutoHyphens/>
              <w:spacing w:before="20" w:after="20"/>
              <w:ind w:left="-18"/>
              <w:jc w:val="center"/>
              <w:rPr>
                <w:color w:val="000000"/>
              </w:rPr>
            </w:pPr>
            <w:r>
              <w:rPr>
                <w:color w:val="000000"/>
              </w:rPr>
              <w:t>1,000 lb/MWh</w:t>
            </w:r>
          </w:p>
        </w:tc>
        <w:tc>
          <w:tcPr>
            <w:tcW w:w="1958" w:type="dxa"/>
            <w:tcBorders>
              <w:top w:val="single" w:sz="6" w:space="0" w:color="auto"/>
              <w:left w:val="single" w:sz="12" w:space="0" w:color="auto"/>
              <w:bottom w:val="single" w:sz="12" w:space="0" w:color="auto"/>
              <w:right w:val="single" w:sz="12" w:space="0" w:color="auto"/>
            </w:tcBorders>
            <w:vAlign w:val="center"/>
            <w:hideMark/>
          </w:tcPr>
          <w:p w:rsidR="00DC0CC5" w:rsidRDefault="00DC0CC5" w:rsidP="00262064">
            <w:pPr>
              <w:pStyle w:val="Caption"/>
              <w:spacing w:before="20" w:after="20"/>
              <w:ind w:left="-108"/>
              <w:jc w:val="center"/>
              <w:rPr>
                <w:b w:val="0"/>
                <w:caps w:val="0"/>
                <w:sz w:val="20"/>
              </w:rPr>
            </w:pPr>
            <w:r>
              <w:rPr>
                <w:b w:val="0"/>
                <w:caps w:val="0"/>
                <w:sz w:val="20"/>
              </w:rPr>
              <w:t>NSPS TTTT,</w:t>
            </w:r>
          </w:p>
          <w:p w:rsidR="00DC0CC5" w:rsidRDefault="00DC0CC5" w:rsidP="00262064">
            <w:pPr>
              <w:jc w:val="center"/>
            </w:pPr>
            <w:r>
              <w:t>Secondary BACT</w:t>
            </w:r>
          </w:p>
        </w:tc>
        <w:tc>
          <w:tcPr>
            <w:tcW w:w="2164" w:type="dxa"/>
            <w:vMerge/>
            <w:tcBorders>
              <w:top w:val="single" w:sz="6" w:space="0" w:color="auto"/>
              <w:left w:val="single" w:sz="12" w:space="0" w:color="auto"/>
              <w:bottom w:val="single" w:sz="12" w:space="0" w:color="auto"/>
              <w:right w:val="single" w:sz="12" w:space="0" w:color="auto"/>
            </w:tcBorders>
            <w:vAlign w:val="center"/>
            <w:hideMark/>
          </w:tcPr>
          <w:p w:rsidR="00DC0CC5" w:rsidRDefault="00DC0CC5" w:rsidP="00262064"/>
        </w:tc>
        <w:tc>
          <w:tcPr>
            <w:tcW w:w="1650" w:type="dxa"/>
            <w:vMerge/>
            <w:tcBorders>
              <w:top w:val="single" w:sz="6" w:space="0" w:color="auto"/>
              <w:left w:val="single" w:sz="12" w:space="0" w:color="auto"/>
              <w:bottom w:val="single" w:sz="12" w:space="0" w:color="auto"/>
              <w:right w:val="single" w:sz="12" w:space="0" w:color="auto"/>
            </w:tcBorders>
            <w:vAlign w:val="center"/>
            <w:hideMark/>
          </w:tcPr>
          <w:p w:rsidR="00DC0CC5" w:rsidRDefault="00DC0CC5" w:rsidP="00262064"/>
        </w:tc>
      </w:tr>
      <w:tr w:rsidR="00DC0CC5" w:rsidTr="003330FD">
        <w:trPr>
          <w:trHeight w:val="5127"/>
          <w:jc w:val="center"/>
        </w:trPr>
        <w:tc>
          <w:tcPr>
            <w:tcW w:w="9739" w:type="dxa"/>
            <w:gridSpan w:val="5"/>
            <w:tcBorders>
              <w:top w:val="single" w:sz="12" w:space="0" w:color="auto"/>
              <w:left w:val="single" w:sz="12" w:space="0" w:color="auto"/>
              <w:bottom w:val="single" w:sz="12" w:space="0" w:color="auto"/>
              <w:right w:val="single" w:sz="12" w:space="0" w:color="auto"/>
            </w:tcBorders>
            <w:vAlign w:val="center"/>
            <w:hideMark/>
          </w:tcPr>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NO</w:t>
            </w:r>
            <w:r>
              <w:rPr>
                <w:sz w:val="18"/>
                <w:szCs w:val="18"/>
                <w:vertAlign w:val="subscript"/>
              </w:rPr>
              <w:t>X</w:t>
            </w:r>
            <w:r>
              <w:rPr>
                <w:sz w:val="18"/>
                <w:szCs w:val="18"/>
              </w:rPr>
              <w:t xml:space="preserve"> </w:t>
            </w:r>
            <w:r w:rsidR="00931A1A">
              <w:rPr>
                <w:sz w:val="18"/>
                <w:szCs w:val="18"/>
              </w:rPr>
              <w:t>and CO</w:t>
            </w:r>
            <w:r>
              <w:rPr>
                <w:sz w:val="18"/>
                <w:szCs w:val="18"/>
              </w:rPr>
              <w:t xml:space="preserve"> concentration emission standards are expressed in parts per million by volume, dry, corrected to </w:t>
            </w:r>
            <w:r>
              <w:rPr>
                <w:sz w:val="18"/>
                <w:szCs w:val="18"/>
              </w:rPr>
              <w:br/>
              <w:t>15 percent oxygen, abbreviated as ppmvd @15% O</w:t>
            </w:r>
            <w:r>
              <w:rPr>
                <w:sz w:val="18"/>
                <w:szCs w:val="18"/>
                <w:vertAlign w:val="subscript"/>
              </w:rPr>
              <w:t>2</w:t>
            </w:r>
            <w:r>
              <w:rPr>
                <w:sz w:val="18"/>
                <w:szCs w:val="18"/>
              </w:rPr>
              <w:t>.</w:t>
            </w:r>
          </w:p>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CEMS means continuous emissions monitoring system.</w:t>
            </w:r>
          </w:p>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 xml:space="preserve">Secondary BACT emission limits are alternative emission limits for specified modes of operation.  </w:t>
            </w:r>
            <w:r>
              <w:rPr>
                <w:iCs/>
                <w:sz w:val="18"/>
                <w:szCs w:val="18"/>
              </w:rPr>
              <w:t>Demonstrating compliance with the NO</w:t>
            </w:r>
            <w:r>
              <w:rPr>
                <w:iCs/>
                <w:sz w:val="18"/>
                <w:szCs w:val="18"/>
                <w:vertAlign w:val="subscript"/>
              </w:rPr>
              <w:t>X</w:t>
            </w:r>
            <w:r>
              <w:rPr>
                <w:iCs/>
                <w:sz w:val="18"/>
                <w:szCs w:val="18"/>
              </w:rPr>
              <w:t xml:space="preserve"> limit in Table 1 of NSPS Subpart KKKK limit shall be sufficient for demonstrating compliance with the Secondary NO</w:t>
            </w:r>
            <w:r>
              <w:rPr>
                <w:iCs/>
                <w:sz w:val="18"/>
                <w:szCs w:val="18"/>
                <w:vertAlign w:val="subscript"/>
              </w:rPr>
              <w:t>X</w:t>
            </w:r>
            <w:r>
              <w:rPr>
                <w:iCs/>
                <w:sz w:val="18"/>
                <w:szCs w:val="18"/>
              </w:rPr>
              <w:t xml:space="preserve"> BACT limit.</w:t>
            </w:r>
          </w:p>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The composite NSPS KKKK NO</w:t>
            </w:r>
            <w:r>
              <w:rPr>
                <w:sz w:val="18"/>
                <w:szCs w:val="18"/>
                <w:vertAlign w:val="subscript"/>
              </w:rPr>
              <w:t>X</w:t>
            </w:r>
            <w:r>
              <w:rPr>
                <w:sz w:val="18"/>
                <w:szCs w:val="18"/>
              </w:rPr>
              <w:t xml:space="preserve"> emission limit for periods during which multiple NO</w:t>
            </w:r>
            <w:r>
              <w:rPr>
                <w:sz w:val="18"/>
                <w:szCs w:val="18"/>
                <w:vertAlign w:val="subscript"/>
              </w:rPr>
              <w:t>X</w:t>
            </w:r>
            <w:r>
              <w:rPr>
                <w:sz w:val="18"/>
                <w:szCs w:val="18"/>
              </w:rPr>
              <w:t xml:space="preserve"> emission standards apply shall be determined in accordance with 40 CFR 60.4380(b)(3).</w:t>
            </w:r>
          </w:p>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The fuel sulfur specifications combined with the efficient combustion design and operation of the combustion turbines represent BACT for PM/PM</w:t>
            </w:r>
            <w:r>
              <w:rPr>
                <w:sz w:val="18"/>
                <w:szCs w:val="18"/>
                <w:vertAlign w:val="subscript"/>
              </w:rPr>
              <w:t>10</w:t>
            </w:r>
            <w:r>
              <w:rPr>
                <w:sz w:val="18"/>
                <w:szCs w:val="18"/>
              </w:rPr>
              <w:t>/PM</w:t>
            </w:r>
            <w:r>
              <w:rPr>
                <w:sz w:val="18"/>
                <w:szCs w:val="18"/>
                <w:vertAlign w:val="subscript"/>
              </w:rPr>
              <w:t>2.5</w:t>
            </w:r>
            <w:r>
              <w:rPr>
                <w:sz w:val="18"/>
                <w:szCs w:val="18"/>
              </w:rPr>
              <w:t xml:space="preserve"> and SO</w:t>
            </w:r>
            <w:r>
              <w:rPr>
                <w:sz w:val="18"/>
                <w:szCs w:val="18"/>
                <w:vertAlign w:val="subscript"/>
              </w:rPr>
              <w:t>2</w:t>
            </w:r>
            <w:r>
              <w:rPr>
                <w:sz w:val="18"/>
                <w:szCs w:val="18"/>
              </w:rPr>
              <w:t xml:space="preserve"> emissions.  Compliance with the fuel specifications, CO standards, and visible emissions (opacity) limit shall serve as indicators of good combustion.</w:t>
            </w:r>
          </w:p>
          <w:p w:rsidR="00DC0CC5" w:rsidRDefault="00DC0CC5" w:rsidP="0069678A">
            <w:pPr>
              <w:numPr>
                <w:ilvl w:val="0"/>
                <w:numId w:val="26"/>
              </w:numPr>
              <w:tabs>
                <w:tab w:val="num" w:pos="252"/>
              </w:tabs>
              <w:suppressAutoHyphens/>
              <w:spacing w:before="20" w:after="20"/>
              <w:ind w:left="260" w:hanging="274"/>
              <w:rPr>
                <w:sz w:val="18"/>
                <w:szCs w:val="18"/>
              </w:rPr>
            </w:pPr>
            <w:r>
              <w:rPr>
                <w:sz w:val="18"/>
                <w:szCs w:val="18"/>
              </w:rPr>
              <w:t xml:space="preserve">Compliance with the 10% opacity standard shall be demonstrated by conducting 30-minute tests in accordance with EPA Method 9 - Visual Determination of Opacity, at normal operating conditions.  </w:t>
            </w:r>
            <w:r>
              <w:rPr>
                <w:iCs/>
                <w:sz w:val="18"/>
                <w:szCs w:val="18"/>
              </w:rPr>
              <w:t xml:space="preserve">Visible emissions during startups, shutdowns, </w:t>
            </w:r>
            <w:r w:rsidR="00931A1A">
              <w:rPr>
                <w:iCs/>
                <w:sz w:val="18"/>
                <w:szCs w:val="18"/>
              </w:rPr>
              <w:t xml:space="preserve">SCR tuning, </w:t>
            </w:r>
            <w:r>
              <w:rPr>
                <w:iCs/>
                <w:sz w:val="18"/>
                <w:szCs w:val="18"/>
              </w:rPr>
              <w:t>DLN tuning, and malfunctions shall not exceed 10% opacity, except for up to six 6-minute average periods during a calendar day, which shall not exceed 20% opacity.</w:t>
            </w:r>
          </w:p>
          <w:p w:rsidR="00DC0CC5" w:rsidRDefault="00DC0CC5" w:rsidP="0069678A">
            <w:pPr>
              <w:numPr>
                <w:ilvl w:val="0"/>
                <w:numId w:val="26"/>
              </w:numPr>
              <w:tabs>
                <w:tab w:val="clear" w:pos="720"/>
              </w:tabs>
              <w:suppressAutoHyphens/>
              <w:spacing w:before="20" w:after="20"/>
              <w:ind w:left="215" w:hanging="215"/>
              <w:rPr>
                <w:sz w:val="18"/>
                <w:szCs w:val="18"/>
              </w:rPr>
            </w:pPr>
            <w:r>
              <w:rPr>
                <w:sz w:val="18"/>
                <w:szCs w:val="18"/>
              </w:rPr>
              <w:t>GHG monitoring shall be in accordance with 40 CFR 75, which includes options for continuous monitoring of fuel use combined with the use of emissions factors for GHGs, or the use of a continuous emissions monitor for CO</w:t>
            </w:r>
            <w:r>
              <w:rPr>
                <w:sz w:val="18"/>
                <w:szCs w:val="18"/>
                <w:vertAlign w:val="subscript"/>
              </w:rPr>
              <w:t>2</w:t>
            </w:r>
            <w:r>
              <w:rPr>
                <w:sz w:val="18"/>
                <w:szCs w:val="18"/>
              </w:rPr>
              <w:t>.  Calculations of CO</w:t>
            </w:r>
            <w:r>
              <w:rPr>
                <w:sz w:val="18"/>
                <w:szCs w:val="18"/>
                <w:vertAlign w:val="subscript"/>
              </w:rPr>
              <w:t>2</w:t>
            </w:r>
            <w:r>
              <w:rPr>
                <w:sz w:val="18"/>
                <w:szCs w:val="18"/>
              </w:rPr>
              <w:t xml:space="preserve">e emissions shall use the 100-year global warming potential values listed in Table A-1 to Subpart A of 40 CFR 98 </w:t>
            </w:r>
            <w:r w:rsidR="00931A1A">
              <w:rPr>
                <w:sz w:val="18"/>
                <w:szCs w:val="18"/>
              </w:rPr>
              <w:t xml:space="preserve">(2017) </w:t>
            </w:r>
            <w:r>
              <w:rPr>
                <w:sz w:val="18"/>
                <w:szCs w:val="18"/>
              </w:rPr>
              <w:t>(</w:t>
            </w:r>
            <w:r w:rsidR="00931A1A">
              <w:rPr>
                <w:sz w:val="18"/>
                <w:szCs w:val="18"/>
              </w:rPr>
              <w:t>i</w:t>
            </w:r>
            <w:r>
              <w:rPr>
                <w:sz w:val="18"/>
                <w:szCs w:val="18"/>
              </w:rPr>
              <w:t>.</w:t>
            </w:r>
            <w:r w:rsidR="00931A1A">
              <w:rPr>
                <w:sz w:val="18"/>
                <w:szCs w:val="18"/>
              </w:rPr>
              <w:t>e</w:t>
            </w:r>
            <w:r>
              <w:rPr>
                <w:sz w:val="18"/>
                <w:szCs w:val="18"/>
              </w:rPr>
              <w:t>. 1 for CO</w:t>
            </w:r>
            <w:r>
              <w:rPr>
                <w:sz w:val="18"/>
                <w:szCs w:val="18"/>
                <w:vertAlign w:val="subscript"/>
              </w:rPr>
              <w:t>2</w:t>
            </w:r>
            <w:r>
              <w:rPr>
                <w:sz w:val="18"/>
                <w:szCs w:val="18"/>
              </w:rPr>
              <w:t>, 25 for CH</w:t>
            </w:r>
            <w:r>
              <w:rPr>
                <w:sz w:val="18"/>
                <w:szCs w:val="18"/>
                <w:vertAlign w:val="subscript"/>
              </w:rPr>
              <w:t>4</w:t>
            </w:r>
            <w:r>
              <w:rPr>
                <w:sz w:val="18"/>
                <w:szCs w:val="18"/>
              </w:rPr>
              <w:t xml:space="preserve"> and 298 for N</w:t>
            </w:r>
            <w:r>
              <w:rPr>
                <w:sz w:val="18"/>
                <w:szCs w:val="18"/>
                <w:vertAlign w:val="subscript"/>
              </w:rPr>
              <w:t>2</w:t>
            </w:r>
            <w:r>
              <w:rPr>
                <w:sz w:val="18"/>
                <w:szCs w:val="18"/>
              </w:rPr>
              <w:t xml:space="preserve">O).  The GHG BACT limit applies to the combined cycle unit as an aggregate limit. The Primary GHG BACT limit applies during all operation, except the conditions enumerated in </w:t>
            </w:r>
            <w:r w:rsidR="00440107" w:rsidRPr="00F21968">
              <w:rPr>
                <w:sz w:val="18"/>
                <w:szCs w:val="18"/>
              </w:rPr>
              <w:t>Alternate Standards and Excess Emission</w:t>
            </w:r>
            <w:r w:rsidR="00F21968" w:rsidRPr="00F21968">
              <w:rPr>
                <w:sz w:val="18"/>
                <w:szCs w:val="18"/>
              </w:rPr>
              <w:t>s</w:t>
            </w:r>
            <w:r w:rsidRPr="00F21968">
              <w:rPr>
                <w:sz w:val="18"/>
                <w:szCs w:val="18"/>
              </w:rPr>
              <w:t>.</w:t>
            </w:r>
            <w:r>
              <w:rPr>
                <w:sz w:val="18"/>
                <w:szCs w:val="18"/>
              </w:rPr>
              <w:t xml:space="preserve">  </w:t>
            </w:r>
            <w:r w:rsidR="00B54CDC">
              <w:rPr>
                <w:sz w:val="18"/>
                <w:szCs w:val="18"/>
              </w:rPr>
              <w:t>However, t</w:t>
            </w:r>
            <w:r>
              <w:rPr>
                <w:sz w:val="18"/>
                <w:szCs w:val="18"/>
              </w:rPr>
              <w:t xml:space="preserve">he Secondary GHG BACT limit applies for all operation, including the conditions enumerated in </w:t>
            </w:r>
            <w:r w:rsidR="00F21968" w:rsidRPr="00F21968">
              <w:rPr>
                <w:sz w:val="18"/>
                <w:szCs w:val="18"/>
              </w:rPr>
              <w:t>Alternate Standards and Excess Emissions</w:t>
            </w:r>
            <w:r>
              <w:rPr>
                <w:sz w:val="18"/>
                <w:szCs w:val="18"/>
              </w:rPr>
              <w:t>.  Compliance with the Secondary GHG BACT limit is demonstrated through compliance with NSPS Subpart TTTT.</w:t>
            </w:r>
          </w:p>
          <w:p w:rsidR="00DC0CC5" w:rsidRPr="00931A1A" w:rsidRDefault="00DC0CC5" w:rsidP="0069678A">
            <w:pPr>
              <w:numPr>
                <w:ilvl w:val="0"/>
                <w:numId w:val="26"/>
              </w:numPr>
              <w:tabs>
                <w:tab w:val="num" w:pos="252"/>
              </w:tabs>
              <w:suppressAutoHyphens/>
              <w:spacing w:before="20" w:after="20"/>
              <w:ind w:left="260" w:hanging="274"/>
              <w:rPr>
                <w:sz w:val="18"/>
                <w:szCs w:val="18"/>
                <w:u w:val="double"/>
              </w:rPr>
            </w:pPr>
            <w:r>
              <w:rPr>
                <w:sz w:val="18"/>
                <w:szCs w:val="18"/>
              </w:rPr>
              <w:t>The NSPS Subpart TTTT GHG standard applies during all periods of operation.</w:t>
            </w:r>
            <w:r w:rsidRPr="00931A1A">
              <w:rPr>
                <w:sz w:val="18"/>
                <w:szCs w:val="18"/>
              </w:rPr>
              <w:t xml:space="preserve"> </w:t>
            </w:r>
          </w:p>
        </w:tc>
      </w:tr>
    </w:tbl>
    <w:p w:rsidR="00C64017" w:rsidRPr="00C64017" w:rsidRDefault="00C64017" w:rsidP="00C64017">
      <w:pPr>
        <w:widowControl w:val="0"/>
        <w:spacing w:before="120" w:after="120"/>
        <w:rPr>
          <w:rFonts w:ascii="Times New Roman Bold" w:hAnsi="Times New Roman Bold"/>
          <w:sz w:val="22"/>
          <w:szCs w:val="22"/>
          <w:u w:val="single"/>
        </w:rPr>
      </w:pPr>
      <w:r w:rsidRPr="00C64017">
        <w:rPr>
          <w:sz w:val="22"/>
          <w:u w:val="single"/>
        </w:rPr>
        <w:t>Alternate Standards and Excess Emissions</w:t>
      </w:r>
    </w:p>
    <w:p w:rsidR="00C64017" w:rsidRPr="00C64017" w:rsidRDefault="00C64017" w:rsidP="00C64017">
      <w:pPr>
        <w:widowControl w:val="0"/>
        <w:spacing w:after="120"/>
        <w:rPr>
          <w:sz w:val="22"/>
        </w:rPr>
      </w:pPr>
      <w:r w:rsidRPr="00C64017">
        <w:rPr>
          <w:sz w:val="22"/>
        </w:rPr>
        <w:t>The</w:t>
      </w:r>
      <w:r w:rsidRPr="00C64017">
        <w:rPr>
          <w:iCs/>
          <w:sz w:val="22"/>
        </w:rPr>
        <w:t xml:space="preserve"> rule states that, “</w:t>
      </w:r>
      <w:r w:rsidRPr="00C64017">
        <w:rPr>
          <w:sz w:val="22"/>
        </w:rPr>
        <w:t xml:space="preserve">Considering operational variations in types of industrial equipment operations affected by this rule, the Department may adjust maximum and minimum factors to provide reasonable and practical regulatory controls consistent with the public interest.”  Therefore, the Department has the authority to account for these defined periods of operation in determining BACT standards based on the given characteristics of the specific project.  The Department establishes the following requirements for transient operating conditions for </w:t>
      </w:r>
      <w:r w:rsidR="009822F6">
        <w:rPr>
          <w:sz w:val="22"/>
        </w:rPr>
        <w:t>the</w:t>
      </w:r>
      <w:r w:rsidRPr="00C64017">
        <w:rPr>
          <w:sz w:val="22"/>
        </w:rPr>
        <w:t xml:space="preserve"> gas turbine/HRSG system.</w:t>
      </w:r>
    </w:p>
    <w:p w:rsidR="00931A1A" w:rsidRDefault="00931A1A" w:rsidP="00931A1A">
      <w:pPr>
        <w:widowControl w:val="0"/>
        <w:numPr>
          <w:ilvl w:val="0"/>
          <w:numId w:val="25"/>
        </w:numPr>
        <w:rPr>
          <w:sz w:val="22"/>
          <w:szCs w:val="22"/>
        </w:rPr>
      </w:pPr>
      <w:bookmarkStart w:id="55" w:name="_Ref439860620"/>
      <w:r>
        <w:rPr>
          <w:i/>
          <w:sz w:val="22"/>
          <w:szCs w:val="22"/>
        </w:rPr>
        <w:t xml:space="preserve">Steam Turbine Cold Startup:  </w:t>
      </w:r>
      <w:r>
        <w:rPr>
          <w:sz w:val="22"/>
          <w:szCs w:val="22"/>
        </w:rPr>
        <w:t>During a cold startup of the steam turbine, the Primary NO</w:t>
      </w:r>
      <w:r>
        <w:rPr>
          <w:sz w:val="22"/>
          <w:szCs w:val="22"/>
          <w:vertAlign w:val="subscript"/>
        </w:rPr>
        <w:t>X</w:t>
      </w:r>
      <w:r>
        <w:rPr>
          <w:sz w:val="22"/>
          <w:szCs w:val="22"/>
        </w:rPr>
        <w:t xml:space="preserve"> and GHG BACT emission limits do not apply to the CTG/HRSG system, for no more than 6 hours during any 24-hour period.  A cold startup of the steam turbine is defined as startup of the 1-on-1 combined cycle system following a shutdown of the steam turbine lasting at least 72 hours.</w:t>
      </w:r>
      <w:bookmarkEnd w:id="55"/>
    </w:p>
    <w:p w:rsidR="00931A1A" w:rsidRPr="00931A1A" w:rsidRDefault="00931A1A" w:rsidP="00931A1A">
      <w:pPr>
        <w:widowControl w:val="0"/>
        <w:spacing w:before="60" w:after="160"/>
        <w:ind w:left="360"/>
        <w:rPr>
          <w:sz w:val="22"/>
          <w:szCs w:val="22"/>
        </w:rPr>
      </w:pPr>
      <w:r w:rsidRPr="00931A1A">
        <w:rPr>
          <w:i/>
          <w:sz w:val="22"/>
          <w:szCs w:val="22"/>
        </w:rPr>
        <w:t>{Permitting Note: During a cold startup of the steam turbine, the CTG/HRSG system is sequentially brought on line at low load to gradually increase the temperature of the steam turbine and prevent thermal metal fatigue or equipment materials differential expansion damage. Note that shutdowns and documented malfunctions are separately regulated in accordance with the requirements of this condition.}</w:t>
      </w:r>
    </w:p>
    <w:p w:rsidR="00931A1A" w:rsidRPr="00E27FDE" w:rsidRDefault="00931A1A" w:rsidP="00931A1A">
      <w:pPr>
        <w:widowControl w:val="0"/>
        <w:numPr>
          <w:ilvl w:val="0"/>
          <w:numId w:val="25"/>
        </w:numPr>
        <w:spacing w:after="120"/>
        <w:rPr>
          <w:sz w:val="22"/>
          <w:szCs w:val="22"/>
        </w:rPr>
      </w:pPr>
      <w:r w:rsidRPr="00E27FDE">
        <w:rPr>
          <w:i/>
          <w:sz w:val="22"/>
          <w:szCs w:val="22"/>
        </w:rPr>
        <w:t xml:space="preserve">CT/HRSG System Cold Startup:  </w:t>
      </w:r>
      <w:r w:rsidRPr="00E27FDE">
        <w:rPr>
          <w:sz w:val="22"/>
          <w:szCs w:val="22"/>
        </w:rPr>
        <w:t>During a cold startup of the CTG/HRSG system, the Primary NO</w:t>
      </w:r>
      <w:r w:rsidRPr="00E27FDE">
        <w:rPr>
          <w:sz w:val="22"/>
          <w:szCs w:val="22"/>
          <w:vertAlign w:val="subscript"/>
        </w:rPr>
        <w:t>X</w:t>
      </w:r>
      <w:r w:rsidRPr="00E27FDE">
        <w:rPr>
          <w:sz w:val="22"/>
          <w:szCs w:val="22"/>
        </w:rPr>
        <w:t xml:space="preserve"> and GHG BACT emission limits do not apply, for no more than 4 hours during any 24-hour period.  A cold startup of the CTG/HRSG system is defined as a startup of the 1-on-1 combined cycle system</w:t>
      </w:r>
      <w:r>
        <w:rPr>
          <w:sz w:val="22"/>
          <w:szCs w:val="22"/>
        </w:rPr>
        <w:t xml:space="preserve"> </w:t>
      </w:r>
      <w:r w:rsidRPr="00E27FDE">
        <w:rPr>
          <w:sz w:val="22"/>
          <w:szCs w:val="22"/>
        </w:rPr>
        <w:t>following a shutdown of the CTG/HRSG System lasting at least 72 hours.</w:t>
      </w:r>
    </w:p>
    <w:p w:rsidR="00931A1A" w:rsidRPr="00803832" w:rsidRDefault="00931A1A" w:rsidP="00931A1A">
      <w:pPr>
        <w:widowControl w:val="0"/>
        <w:numPr>
          <w:ilvl w:val="0"/>
          <w:numId w:val="25"/>
        </w:numPr>
        <w:spacing w:after="120"/>
        <w:rPr>
          <w:sz w:val="22"/>
          <w:szCs w:val="22"/>
        </w:rPr>
      </w:pPr>
      <w:bookmarkStart w:id="56" w:name="_Hlk509401354"/>
      <w:r w:rsidRPr="00012FCD">
        <w:rPr>
          <w:i/>
          <w:sz w:val="22"/>
          <w:szCs w:val="22"/>
        </w:rPr>
        <w:t>CT/HRSG System</w:t>
      </w:r>
      <w:bookmarkEnd w:id="56"/>
      <w:r w:rsidRPr="00012FCD">
        <w:rPr>
          <w:i/>
          <w:sz w:val="22"/>
          <w:szCs w:val="22"/>
        </w:rPr>
        <w:t xml:space="preserve"> Warm Startup:  </w:t>
      </w:r>
      <w:r w:rsidRPr="00012FCD">
        <w:rPr>
          <w:sz w:val="22"/>
          <w:szCs w:val="22"/>
        </w:rPr>
        <w:t xml:space="preserve">During a warm startup of </w:t>
      </w:r>
      <w:r>
        <w:rPr>
          <w:sz w:val="22"/>
          <w:szCs w:val="22"/>
        </w:rPr>
        <w:t>the CTG</w:t>
      </w:r>
      <w:r w:rsidRPr="00012FCD">
        <w:rPr>
          <w:sz w:val="22"/>
          <w:szCs w:val="22"/>
        </w:rPr>
        <w:t>/HRSG system, the Primary NO</w:t>
      </w:r>
      <w:r w:rsidRPr="00012FCD">
        <w:rPr>
          <w:sz w:val="22"/>
          <w:szCs w:val="22"/>
          <w:vertAlign w:val="subscript"/>
        </w:rPr>
        <w:t>X</w:t>
      </w:r>
      <w:r w:rsidRPr="00012FCD">
        <w:rPr>
          <w:sz w:val="22"/>
          <w:szCs w:val="22"/>
        </w:rPr>
        <w:t xml:space="preserve"> and GHG BACT emission limits do not apply, for </w:t>
      </w:r>
      <w:r w:rsidRPr="00803832">
        <w:rPr>
          <w:sz w:val="22"/>
          <w:szCs w:val="22"/>
        </w:rPr>
        <w:t>no more than 3 hours during any 24-hour period.  A warm startup of the</w:t>
      </w:r>
      <w:r>
        <w:rPr>
          <w:sz w:val="22"/>
          <w:szCs w:val="22"/>
        </w:rPr>
        <w:t xml:space="preserve"> CTG</w:t>
      </w:r>
      <w:r w:rsidRPr="00803832">
        <w:rPr>
          <w:sz w:val="22"/>
          <w:szCs w:val="22"/>
        </w:rPr>
        <w:t xml:space="preserve">/HRSG system is defined as startup of the 1-on-1 combined cycle unit following </w:t>
      </w:r>
      <w:r w:rsidR="00E64BB5">
        <w:rPr>
          <w:sz w:val="22"/>
          <w:szCs w:val="22"/>
        </w:rPr>
        <w:t xml:space="preserve">a </w:t>
      </w:r>
      <w:r w:rsidRPr="00803832">
        <w:rPr>
          <w:sz w:val="22"/>
          <w:szCs w:val="22"/>
        </w:rPr>
        <w:t>shutdown for a period exceeding 8 hours but less than 72 hours.</w:t>
      </w:r>
    </w:p>
    <w:p w:rsidR="00931A1A" w:rsidRPr="00803832" w:rsidRDefault="00931A1A" w:rsidP="00931A1A">
      <w:pPr>
        <w:widowControl w:val="0"/>
        <w:numPr>
          <w:ilvl w:val="0"/>
          <w:numId w:val="25"/>
        </w:numPr>
        <w:spacing w:after="120"/>
        <w:rPr>
          <w:sz w:val="22"/>
          <w:szCs w:val="22"/>
        </w:rPr>
      </w:pPr>
      <w:r w:rsidRPr="00803832">
        <w:rPr>
          <w:i/>
          <w:sz w:val="22"/>
          <w:szCs w:val="22"/>
        </w:rPr>
        <w:t>CT/HRSG System</w:t>
      </w:r>
      <w:r w:rsidRPr="00803832">
        <w:rPr>
          <w:sz w:val="22"/>
          <w:szCs w:val="22"/>
        </w:rPr>
        <w:t xml:space="preserve"> </w:t>
      </w:r>
      <w:r w:rsidRPr="00803832">
        <w:rPr>
          <w:i/>
          <w:sz w:val="22"/>
          <w:szCs w:val="22"/>
        </w:rPr>
        <w:t>Hot Startup</w:t>
      </w:r>
      <w:r w:rsidRPr="00803832">
        <w:rPr>
          <w:sz w:val="22"/>
          <w:szCs w:val="22"/>
        </w:rPr>
        <w:t>: During a hot startup of the</w:t>
      </w:r>
      <w:r>
        <w:rPr>
          <w:sz w:val="22"/>
          <w:szCs w:val="22"/>
        </w:rPr>
        <w:t xml:space="preserve"> CTG</w:t>
      </w:r>
      <w:r w:rsidRPr="00803832">
        <w:rPr>
          <w:sz w:val="22"/>
          <w:szCs w:val="22"/>
        </w:rPr>
        <w:t>/HRSG system, the Primary NO</w:t>
      </w:r>
      <w:r w:rsidRPr="00803832">
        <w:rPr>
          <w:sz w:val="22"/>
          <w:szCs w:val="22"/>
          <w:vertAlign w:val="subscript"/>
        </w:rPr>
        <w:t>X</w:t>
      </w:r>
      <w:r w:rsidRPr="00803832">
        <w:rPr>
          <w:sz w:val="22"/>
          <w:szCs w:val="22"/>
        </w:rPr>
        <w:t xml:space="preserve"> and GHG BACT emission limits do not apply, for no more than 2 hours during any 24-hour period.  A hot startup of the</w:t>
      </w:r>
      <w:r>
        <w:rPr>
          <w:sz w:val="22"/>
          <w:szCs w:val="22"/>
        </w:rPr>
        <w:t xml:space="preserve"> CTG</w:t>
      </w:r>
      <w:r w:rsidRPr="00803832">
        <w:rPr>
          <w:sz w:val="22"/>
          <w:szCs w:val="22"/>
        </w:rPr>
        <w:t xml:space="preserve">/HRSG system is defined as startup of the 1-on-1 combined cycle unit following </w:t>
      </w:r>
      <w:r w:rsidR="00E64BB5">
        <w:rPr>
          <w:sz w:val="22"/>
          <w:szCs w:val="22"/>
        </w:rPr>
        <w:t xml:space="preserve">a </w:t>
      </w:r>
      <w:r w:rsidRPr="00803832">
        <w:rPr>
          <w:sz w:val="22"/>
          <w:szCs w:val="22"/>
        </w:rPr>
        <w:t>shutdown for a period less than or equal to 8 hours.</w:t>
      </w:r>
    </w:p>
    <w:p w:rsidR="00931A1A" w:rsidRPr="00AD1D6B" w:rsidRDefault="00931A1A" w:rsidP="00931A1A">
      <w:pPr>
        <w:widowControl w:val="0"/>
        <w:numPr>
          <w:ilvl w:val="0"/>
          <w:numId w:val="25"/>
        </w:numPr>
        <w:spacing w:after="120"/>
        <w:rPr>
          <w:sz w:val="22"/>
          <w:szCs w:val="22"/>
        </w:rPr>
      </w:pPr>
      <w:r w:rsidRPr="00AD1D6B">
        <w:rPr>
          <w:i/>
          <w:sz w:val="22"/>
          <w:szCs w:val="22"/>
        </w:rPr>
        <w:t xml:space="preserve">Shutdown of Combined-Cycle Operation:  </w:t>
      </w:r>
      <w:r w:rsidRPr="00AD1D6B">
        <w:rPr>
          <w:sz w:val="22"/>
          <w:szCs w:val="22"/>
        </w:rPr>
        <w:t>During the shutdown of combined cycle operation, the Primary NO</w:t>
      </w:r>
      <w:r w:rsidRPr="00AD1D6B">
        <w:rPr>
          <w:sz w:val="22"/>
          <w:szCs w:val="22"/>
          <w:vertAlign w:val="subscript"/>
        </w:rPr>
        <w:t>X</w:t>
      </w:r>
      <w:r w:rsidRPr="00AD1D6B">
        <w:rPr>
          <w:sz w:val="22"/>
          <w:szCs w:val="22"/>
        </w:rPr>
        <w:t xml:space="preserve"> and GHG BACT emission limits do not apply to any</w:t>
      </w:r>
      <w:r>
        <w:rPr>
          <w:sz w:val="22"/>
          <w:szCs w:val="22"/>
        </w:rPr>
        <w:t xml:space="preserve"> CTG</w:t>
      </w:r>
      <w:r w:rsidRPr="00AD1D6B">
        <w:rPr>
          <w:sz w:val="22"/>
          <w:szCs w:val="22"/>
        </w:rPr>
        <w:t>/HRSG system, for no more than 3 hours during any 24-hour period.</w:t>
      </w:r>
    </w:p>
    <w:p w:rsidR="00931A1A" w:rsidRPr="00AD1D6B" w:rsidRDefault="00931A1A" w:rsidP="00931A1A">
      <w:pPr>
        <w:widowControl w:val="0"/>
        <w:numPr>
          <w:ilvl w:val="0"/>
          <w:numId w:val="25"/>
        </w:numPr>
        <w:spacing w:after="120"/>
        <w:rPr>
          <w:sz w:val="22"/>
          <w:szCs w:val="22"/>
        </w:rPr>
      </w:pPr>
      <w:r w:rsidRPr="00AD1D6B">
        <w:rPr>
          <w:i/>
          <w:sz w:val="22"/>
          <w:szCs w:val="22"/>
        </w:rPr>
        <w:t>CT/HRSG System Shutdown:</w:t>
      </w:r>
      <w:r w:rsidRPr="00AD1D6B">
        <w:rPr>
          <w:sz w:val="22"/>
          <w:szCs w:val="22"/>
        </w:rPr>
        <w:t xml:space="preserve">  During the shutdown of the</w:t>
      </w:r>
      <w:r>
        <w:rPr>
          <w:sz w:val="22"/>
          <w:szCs w:val="22"/>
        </w:rPr>
        <w:t xml:space="preserve"> CTG</w:t>
      </w:r>
      <w:r w:rsidRPr="00AD1D6B">
        <w:rPr>
          <w:sz w:val="22"/>
          <w:szCs w:val="22"/>
        </w:rPr>
        <w:t>/HRSG system, the Primary NO</w:t>
      </w:r>
      <w:r w:rsidRPr="00AD1D6B">
        <w:rPr>
          <w:sz w:val="22"/>
          <w:szCs w:val="22"/>
          <w:vertAlign w:val="subscript"/>
        </w:rPr>
        <w:t>X</w:t>
      </w:r>
      <w:r w:rsidRPr="00AD1D6B">
        <w:rPr>
          <w:sz w:val="22"/>
          <w:szCs w:val="22"/>
        </w:rPr>
        <w:t xml:space="preserve"> and GHG BACT emissions limits do not apply to that</w:t>
      </w:r>
      <w:r>
        <w:rPr>
          <w:sz w:val="22"/>
          <w:szCs w:val="22"/>
        </w:rPr>
        <w:t xml:space="preserve"> CTG</w:t>
      </w:r>
      <w:r w:rsidRPr="00AD1D6B">
        <w:rPr>
          <w:sz w:val="22"/>
          <w:szCs w:val="22"/>
        </w:rPr>
        <w:t>/HRSG system, for no more than 2 hours during any 24-hour period.</w:t>
      </w:r>
    </w:p>
    <w:p w:rsidR="00931A1A" w:rsidRPr="00E27FDE" w:rsidRDefault="00931A1A" w:rsidP="00931A1A">
      <w:pPr>
        <w:widowControl w:val="0"/>
        <w:numPr>
          <w:ilvl w:val="0"/>
          <w:numId w:val="25"/>
        </w:numPr>
        <w:spacing w:after="120"/>
        <w:rPr>
          <w:sz w:val="22"/>
          <w:szCs w:val="22"/>
        </w:rPr>
      </w:pPr>
      <w:r>
        <w:rPr>
          <w:i/>
          <w:sz w:val="22"/>
          <w:szCs w:val="22"/>
        </w:rPr>
        <w:t xml:space="preserve">SCR and DLN Tuning:  </w:t>
      </w:r>
      <w:r>
        <w:rPr>
          <w:sz w:val="22"/>
          <w:szCs w:val="22"/>
        </w:rPr>
        <w:t>The Primary NO</w:t>
      </w:r>
      <w:r>
        <w:rPr>
          <w:sz w:val="22"/>
          <w:szCs w:val="22"/>
          <w:vertAlign w:val="subscript"/>
        </w:rPr>
        <w:t>X</w:t>
      </w:r>
      <w:r>
        <w:rPr>
          <w:sz w:val="22"/>
          <w:szCs w:val="22"/>
        </w:rPr>
        <w:t xml:space="preserve"> and GHG BACT emission limits do not apply during</w:t>
      </w:r>
      <w:r w:rsidRPr="00E27FDE">
        <w:t xml:space="preserve"> </w:t>
      </w:r>
      <w:r w:rsidRPr="00E27FDE">
        <w:rPr>
          <w:sz w:val="22"/>
          <w:szCs w:val="22"/>
        </w:rPr>
        <w:t>either an</w:t>
      </w:r>
      <w:r>
        <w:rPr>
          <w:sz w:val="22"/>
          <w:szCs w:val="22"/>
        </w:rPr>
        <w:t xml:space="preserve"> </w:t>
      </w:r>
      <w:r w:rsidRPr="00E27FDE">
        <w:rPr>
          <w:sz w:val="22"/>
          <w:szCs w:val="22"/>
        </w:rPr>
        <w:t xml:space="preserve">SCR or a DLN tuning session and manufacturer required Full-Speed No-Load Tests (FSNL) trip tests, provided the tuning session is performed in accordance with the manufacturer's specifications or determined best practices. </w:t>
      </w:r>
      <w:r>
        <w:rPr>
          <w:sz w:val="22"/>
          <w:szCs w:val="22"/>
        </w:rPr>
        <w:t xml:space="preserve"> </w:t>
      </w:r>
      <w:r w:rsidRPr="00E27FDE">
        <w:rPr>
          <w:sz w:val="22"/>
          <w:szCs w:val="22"/>
        </w:rPr>
        <w:t xml:space="preserve">Prior to performing any tuning session, the permittee shall provide the Compliance Authority with an advance notice that details the activity and proposed tuning schedule. </w:t>
      </w:r>
      <w:r w:rsidR="00EC4F68">
        <w:rPr>
          <w:sz w:val="22"/>
          <w:szCs w:val="22"/>
        </w:rPr>
        <w:t xml:space="preserve"> </w:t>
      </w:r>
      <w:r w:rsidRPr="00E27FDE">
        <w:rPr>
          <w:sz w:val="22"/>
          <w:szCs w:val="22"/>
        </w:rPr>
        <w:t>The notice may be by telephone, facsimile transmittal, or electronic mail.</w:t>
      </w:r>
    </w:p>
    <w:p w:rsidR="00931A1A" w:rsidRPr="009B09F0" w:rsidRDefault="00931A1A" w:rsidP="00931A1A">
      <w:pPr>
        <w:widowControl w:val="0"/>
        <w:numPr>
          <w:ilvl w:val="0"/>
          <w:numId w:val="25"/>
        </w:numPr>
        <w:spacing w:after="120"/>
        <w:rPr>
          <w:sz w:val="22"/>
          <w:szCs w:val="22"/>
        </w:rPr>
      </w:pPr>
      <w:bookmarkStart w:id="57" w:name="_Ref439860637"/>
      <w:r>
        <w:rPr>
          <w:i/>
          <w:sz w:val="22"/>
          <w:szCs w:val="22"/>
        </w:rPr>
        <w:t xml:space="preserve">Documented Malfunction:  </w:t>
      </w:r>
      <w:r>
        <w:rPr>
          <w:sz w:val="22"/>
          <w:szCs w:val="22"/>
        </w:rPr>
        <w:t>The Primary NO</w:t>
      </w:r>
      <w:r>
        <w:rPr>
          <w:sz w:val="22"/>
          <w:szCs w:val="22"/>
          <w:vertAlign w:val="subscript"/>
        </w:rPr>
        <w:t>X</w:t>
      </w:r>
      <w:r>
        <w:rPr>
          <w:sz w:val="22"/>
          <w:szCs w:val="22"/>
        </w:rPr>
        <w:t xml:space="preserve"> and GHG BACT emission limits do not apply during a documented malfunction, for no more than 2 hours in any 24-hour period.  To qualify as a “documented malfunction,” the malfunction must be documented within one working day of detection by contacting the Compliance Authority by telephone, facsimile transmittal, or electronic mail</w:t>
      </w:r>
      <w:r w:rsidRPr="009B09F0">
        <w:rPr>
          <w:sz w:val="22"/>
          <w:szCs w:val="22"/>
        </w:rPr>
        <w:t>.  The permittee shall report to the Department the nature, extent, and duration of the malfunction, and the actions taken to correct the problem.</w:t>
      </w:r>
      <w:bookmarkEnd w:id="57"/>
    </w:p>
    <w:p w:rsidR="00931A1A" w:rsidRDefault="00931A1A" w:rsidP="00931A1A">
      <w:pPr>
        <w:widowControl w:val="0"/>
        <w:numPr>
          <w:ilvl w:val="0"/>
          <w:numId w:val="25"/>
        </w:numPr>
        <w:spacing w:after="120"/>
        <w:rPr>
          <w:sz w:val="22"/>
          <w:szCs w:val="22"/>
        </w:rPr>
      </w:pPr>
      <w:r w:rsidRPr="001927E1">
        <w:rPr>
          <w:i/>
          <w:sz w:val="22"/>
          <w:szCs w:val="22"/>
        </w:rPr>
        <w:t>Separate Events:</w:t>
      </w:r>
      <w:r w:rsidRPr="001927E1">
        <w:rPr>
          <w:sz w:val="22"/>
          <w:szCs w:val="22"/>
        </w:rPr>
        <w:t xml:space="preserve">  Emissions during the startup, shutdown, </w:t>
      </w:r>
      <w:r>
        <w:rPr>
          <w:sz w:val="22"/>
          <w:szCs w:val="22"/>
        </w:rPr>
        <w:t xml:space="preserve">SCR tuning, </w:t>
      </w:r>
      <w:r w:rsidRPr="001927E1">
        <w:rPr>
          <w:sz w:val="22"/>
          <w:szCs w:val="22"/>
        </w:rPr>
        <w:t>DLN tuning and documented malfunction events listed above are not subject to the Primary BACT standards for NO</w:t>
      </w:r>
      <w:r w:rsidRPr="001927E1">
        <w:rPr>
          <w:sz w:val="22"/>
          <w:szCs w:val="22"/>
          <w:vertAlign w:val="subscript"/>
        </w:rPr>
        <w:t>X</w:t>
      </w:r>
      <w:r w:rsidRPr="001927E1">
        <w:rPr>
          <w:sz w:val="22"/>
          <w:szCs w:val="22"/>
        </w:rPr>
        <w:t xml:space="preserve"> or GHGs.  These are considered separate events, and each event may occur independently within any 24-hour period </w:t>
      </w:r>
      <w:r w:rsidRPr="001927E1">
        <w:rPr>
          <w:color w:val="000000" w:themeColor="text1"/>
          <w:sz w:val="22"/>
          <w:szCs w:val="22"/>
        </w:rPr>
        <w:t>("any 24-hour period" means a calendar day, midnight to midnight)</w:t>
      </w:r>
      <w:r w:rsidRPr="001927E1">
        <w:rPr>
          <w:sz w:val="22"/>
          <w:szCs w:val="22"/>
        </w:rPr>
        <w:t>.  Data from the NO</w:t>
      </w:r>
      <w:r w:rsidRPr="001927E1">
        <w:rPr>
          <w:sz w:val="22"/>
          <w:szCs w:val="22"/>
          <w:vertAlign w:val="subscript"/>
        </w:rPr>
        <w:t>X</w:t>
      </w:r>
      <w:r w:rsidRPr="001927E1">
        <w:rPr>
          <w:sz w:val="22"/>
          <w:szCs w:val="22"/>
        </w:rPr>
        <w:t xml:space="preserve"> and CO</w:t>
      </w:r>
      <w:r w:rsidRPr="001927E1">
        <w:rPr>
          <w:sz w:val="22"/>
          <w:szCs w:val="22"/>
          <w:vertAlign w:val="subscript"/>
        </w:rPr>
        <w:t>2</w:t>
      </w:r>
      <w:r w:rsidRPr="001927E1">
        <w:rPr>
          <w:sz w:val="22"/>
          <w:szCs w:val="22"/>
        </w:rPr>
        <w:t xml:space="preserve"> CEMS (or fuel use monitor) collected during the events described above will not be used to demonstrate compliance with the Primary BACT emission limits for NO</w:t>
      </w:r>
      <w:r w:rsidRPr="001927E1">
        <w:rPr>
          <w:sz w:val="22"/>
          <w:szCs w:val="22"/>
          <w:vertAlign w:val="subscript"/>
        </w:rPr>
        <w:t>X</w:t>
      </w:r>
      <w:r w:rsidRPr="001927E1">
        <w:rPr>
          <w:sz w:val="22"/>
          <w:szCs w:val="22"/>
        </w:rPr>
        <w:t xml:space="preserve"> and GHGs.</w:t>
      </w:r>
    </w:p>
    <w:p w:rsidR="00C64017" w:rsidRPr="00C64017" w:rsidRDefault="00DC0CC5" w:rsidP="00DC0CC5">
      <w:pPr>
        <w:widowControl w:val="0"/>
        <w:numPr>
          <w:ilvl w:val="0"/>
          <w:numId w:val="25"/>
        </w:numPr>
        <w:spacing w:after="120"/>
        <w:rPr>
          <w:iCs/>
          <w:sz w:val="22"/>
          <w:szCs w:val="22"/>
        </w:rPr>
      </w:pPr>
      <w:r w:rsidRPr="001927E1">
        <w:rPr>
          <w:i/>
          <w:sz w:val="22"/>
          <w:szCs w:val="22"/>
        </w:rPr>
        <w:t>CEMS Data:</w:t>
      </w:r>
      <w:r w:rsidRPr="001927E1">
        <w:rPr>
          <w:sz w:val="22"/>
          <w:szCs w:val="22"/>
        </w:rPr>
        <w:t xml:space="preserve">  Data from the NO</w:t>
      </w:r>
      <w:r w:rsidRPr="001927E1">
        <w:rPr>
          <w:sz w:val="22"/>
          <w:szCs w:val="22"/>
          <w:vertAlign w:val="subscript"/>
        </w:rPr>
        <w:t>X</w:t>
      </w:r>
      <w:r w:rsidRPr="001927E1">
        <w:rPr>
          <w:sz w:val="22"/>
          <w:szCs w:val="22"/>
        </w:rPr>
        <w:t xml:space="preserve"> and CO</w:t>
      </w:r>
      <w:r w:rsidRPr="001927E1">
        <w:rPr>
          <w:sz w:val="22"/>
          <w:szCs w:val="22"/>
          <w:vertAlign w:val="subscript"/>
        </w:rPr>
        <w:t>2</w:t>
      </w:r>
      <w:r w:rsidRPr="001927E1">
        <w:rPr>
          <w:sz w:val="22"/>
          <w:szCs w:val="22"/>
        </w:rPr>
        <w:t xml:space="preserve"> CEMS (or fuel use monitor if a CO</w:t>
      </w:r>
      <w:r w:rsidRPr="001927E1">
        <w:rPr>
          <w:sz w:val="22"/>
          <w:szCs w:val="22"/>
          <w:vertAlign w:val="subscript"/>
        </w:rPr>
        <w:t>2</w:t>
      </w:r>
      <w:r w:rsidRPr="001927E1">
        <w:rPr>
          <w:sz w:val="22"/>
          <w:szCs w:val="22"/>
        </w:rPr>
        <w:t xml:space="preserve"> CEMS is not used) collected during the operating conditions described above, during which the Primary NO</w:t>
      </w:r>
      <w:r w:rsidRPr="001927E1">
        <w:rPr>
          <w:sz w:val="22"/>
          <w:szCs w:val="22"/>
          <w:vertAlign w:val="subscript"/>
        </w:rPr>
        <w:t>X</w:t>
      </w:r>
      <w:r w:rsidRPr="001927E1">
        <w:rPr>
          <w:sz w:val="22"/>
          <w:szCs w:val="22"/>
        </w:rPr>
        <w:t xml:space="preserve"> and GHG BACT limits do not apply, will be used to demonstrate compliance with the Secondary NO</w:t>
      </w:r>
      <w:r w:rsidRPr="001927E1">
        <w:rPr>
          <w:sz w:val="22"/>
          <w:szCs w:val="22"/>
          <w:vertAlign w:val="subscript"/>
        </w:rPr>
        <w:t>X</w:t>
      </w:r>
      <w:r w:rsidRPr="001927E1">
        <w:rPr>
          <w:sz w:val="22"/>
          <w:szCs w:val="22"/>
        </w:rPr>
        <w:t xml:space="preserve"> and GHG BACT emission limits at all times.  All valid emissions data (including data collected during startups, shutdowns, malfunction, </w:t>
      </w:r>
      <w:r w:rsidR="00931A1A">
        <w:rPr>
          <w:sz w:val="22"/>
          <w:szCs w:val="22"/>
        </w:rPr>
        <w:t xml:space="preserve">SCR tuning </w:t>
      </w:r>
      <w:r w:rsidRPr="001927E1">
        <w:rPr>
          <w:sz w:val="22"/>
          <w:szCs w:val="22"/>
        </w:rPr>
        <w:t>and DLN tuning) shall be used to report emissions for the Annual Operating Report.</w:t>
      </w:r>
    </w:p>
    <w:p w:rsidR="00190881" w:rsidRDefault="00190881" w:rsidP="001E66DE">
      <w:pPr>
        <w:pStyle w:val="ListParagraph"/>
        <w:widowControl w:val="0"/>
        <w:numPr>
          <w:ilvl w:val="0"/>
          <w:numId w:val="3"/>
        </w:numPr>
        <w:spacing w:after="120"/>
        <w:ind w:left="720" w:hanging="720"/>
        <w:contextualSpacing w:val="0"/>
        <w:rPr>
          <w:b/>
          <w:caps/>
          <w:sz w:val="22"/>
          <w:szCs w:val="22"/>
        </w:rPr>
      </w:pPr>
      <w:r>
        <w:rPr>
          <w:b/>
          <w:caps/>
          <w:sz w:val="22"/>
          <w:szCs w:val="22"/>
        </w:rPr>
        <w:t xml:space="preserve">BACT Review for </w:t>
      </w:r>
      <w:r w:rsidR="003B2442" w:rsidRPr="003B2442">
        <w:rPr>
          <w:b/>
          <w:caps/>
          <w:sz w:val="22"/>
          <w:szCs w:val="22"/>
        </w:rPr>
        <w:t>Other Sources of Air Emissions</w:t>
      </w:r>
    </w:p>
    <w:p w:rsidR="00DF5A43" w:rsidRPr="00DF5A43" w:rsidRDefault="00BD439E" w:rsidP="00962BE4">
      <w:pPr>
        <w:widowControl w:val="0"/>
        <w:spacing w:after="120"/>
        <w:rPr>
          <w:sz w:val="22"/>
          <w:szCs w:val="22"/>
        </w:rPr>
      </w:pPr>
      <w:r w:rsidRPr="00BD439E">
        <w:rPr>
          <w:sz w:val="22"/>
          <w:szCs w:val="22"/>
        </w:rPr>
        <w:t>This section contains the BACT analysis for the</w:t>
      </w:r>
      <w:r w:rsidR="000E1D7B">
        <w:rPr>
          <w:sz w:val="22"/>
          <w:szCs w:val="22"/>
        </w:rPr>
        <w:t xml:space="preserve"> ancillary equipment, including any facility-wide fugitive emissions pertaining </w:t>
      </w:r>
      <w:r w:rsidR="000E1D7B" w:rsidRPr="000E1D7B">
        <w:rPr>
          <w:sz w:val="22"/>
          <w:szCs w:val="22"/>
        </w:rPr>
        <w:t>to NO</w:t>
      </w:r>
      <w:r w:rsidR="000E1D7B" w:rsidRPr="006B54E4">
        <w:rPr>
          <w:sz w:val="22"/>
          <w:szCs w:val="22"/>
          <w:vertAlign w:val="subscript"/>
        </w:rPr>
        <w:t>X</w:t>
      </w:r>
      <w:r w:rsidR="000E1D7B" w:rsidRPr="000E1D7B">
        <w:rPr>
          <w:sz w:val="22"/>
          <w:szCs w:val="22"/>
        </w:rPr>
        <w:t>, CO, PM/PM</w:t>
      </w:r>
      <w:r w:rsidR="000E1D7B" w:rsidRPr="006B54E4">
        <w:rPr>
          <w:sz w:val="22"/>
          <w:szCs w:val="22"/>
          <w:vertAlign w:val="subscript"/>
        </w:rPr>
        <w:t>10</w:t>
      </w:r>
      <w:r w:rsidR="000E1D7B" w:rsidRPr="000E1D7B">
        <w:rPr>
          <w:sz w:val="22"/>
          <w:szCs w:val="22"/>
        </w:rPr>
        <w:t>/PM</w:t>
      </w:r>
      <w:r w:rsidR="000E1D7B" w:rsidRPr="006B54E4">
        <w:rPr>
          <w:sz w:val="22"/>
          <w:szCs w:val="22"/>
          <w:vertAlign w:val="subscript"/>
        </w:rPr>
        <w:t>2.5</w:t>
      </w:r>
      <w:r w:rsidR="000E1D7B" w:rsidRPr="000E1D7B">
        <w:rPr>
          <w:sz w:val="22"/>
          <w:szCs w:val="22"/>
        </w:rPr>
        <w:t>, SO</w:t>
      </w:r>
      <w:r w:rsidR="000E1D7B" w:rsidRPr="006B54E4">
        <w:rPr>
          <w:sz w:val="22"/>
          <w:szCs w:val="22"/>
          <w:vertAlign w:val="subscript"/>
        </w:rPr>
        <w:t>2</w:t>
      </w:r>
      <w:r w:rsidR="000E1D7B" w:rsidRPr="000E1D7B">
        <w:rPr>
          <w:sz w:val="22"/>
          <w:szCs w:val="22"/>
        </w:rPr>
        <w:t xml:space="preserve"> (including SAM) </w:t>
      </w:r>
      <w:r w:rsidR="00A70799">
        <w:rPr>
          <w:sz w:val="22"/>
          <w:szCs w:val="22"/>
        </w:rPr>
        <w:t>or</w:t>
      </w:r>
      <w:r w:rsidR="000E1D7B">
        <w:rPr>
          <w:sz w:val="22"/>
          <w:szCs w:val="22"/>
        </w:rPr>
        <w:t xml:space="preserve"> GHG.</w:t>
      </w:r>
    </w:p>
    <w:p w:rsidR="00190881" w:rsidRPr="004A1D9B" w:rsidRDefault="0038211E" w:rsidP="004A1D9B">
      <w:pPr>
        <w:pStyle w:val="ListParagraph"/>
        <w:widowControl w:val="0"/>
        <w:numPr>
          <w:ilvl w:val="1"/>
          <w:numId w:val="3"/>
        </w:numPr>
        <w:spacing w:after="120"/>
        <w:ind w:left="720" w:hanging="720"/>
        <w:contextualSpacing w:val="0"/>
        <w:rPr>
          <w:b/>
          <w:caps/>
          <w:sz w:val="22"/>
          <w:szCs w:val="22"/>
        </w:rPr>
      </w:pPr>
      <w:r w:rsidRPr="004C3C33">
        <w:rPr>
          <w:b/>
          <w:sz w:val="22"/>
          <w:szCs w:val="22"/>
        </w:rPr>
        <w:t xml:space="preserve">Auxiliary Boiler (EU </w:t>
      </w:r>
      <w:r w:rsidR="003C416C">
        <w:rPr>
          <w:b/>
          <w:sz w:val="22"/>
          <w:szCs w:val="22"/>
        </w:rPr>
        <w:t>002</w:t>
      </w:r>
      <w:r w:rsidRPr="004C3C33">
        <w:rPr>
          <w:b/>
          <w:sz w:val="22"/>
          <w:szCs w:val="22"/>
        </w:rPr>
        <w:t>)</w:t>
      </w:r>
    </w:p>
    <w:p w:rsidR="00242365" w:rsidRPr="00242365" w:rsidRDefault="007879FF" w:rsidP="00104AE7">
      <w:pPr>
        <w:widowControl w:val="0"/>
        <w:spacing w:after="120"/>
        <w:rPr>
          <w:sz w:val="22"/>
          <w:szCs w:val="22"/>
        </w:rPr>
      </w:pPr>
      <w:r>
        <w:rPr>
          <w:sz w:val="22"/>
          <w:szCs w:val="22"/>
        </w:rPr>
        <w:t>As mentioned in the project description, the a</w:t>
      </w:r>
      <w:r w:rsidR="00FB0767">
        <w:rPr>
          <w:sz w:val="22"/>
          <w:szCs w:val="22"/>
        </w:rPr>
        <w:t xml:space="preserve">pplicant proposes to install a natural gas fired </w:t>
      </w:r>
      <w:r w:rsidRPr="007879FF">
        <w:rPr>
          <w:sz w:val="22"/>
          <w:szCs w:val="22"/>
        </w:rPr>
        <w:t xml:space="preserve">auxiliary boiler </w:t>
      </w:r>
      <w:r w:rsidR="00FB0767">
        <w:rPr>
          <w:sz w:val="22"/>
          <w:szCs w:val="22"/>
        </w:rPr>
        <w:t>with</w:t>
      </w:r>
      <w:r w:rsidR="009061EC" w:rsidRPr="009061EC">
        <w:rPr>
          <w:sz w:val="22"/>
          <w:szCs w:val="22"/>
        </w:rPr>
        <w:t xml:space="preserve"> a maximum heat input of 60 MMBtu/h</w:t>
      </w:r>
      <w:r w:rsidR="00845920">
        <w:rPr>
          <w:sz w:val="22"/>
          <w:szCs w:val="22"/>
        </w:rPr>
        <w:t>ou</w:t>
      </w:r>
      <w:r w:rsidR="009061EC" w:rsidRPr="009061EC">
        <w:rPr>
          <w:sz w:val="22"/>
          <w:szCs w:val="22"/>
        </w:rPr>
        <w:t xml:space="preserve">r. </w:t>
      </w:r>
      <w:r w:rsidR="009B04BC">
        <w:rPr>
          <w:sz w:val="22"/>
          <w:szCs w:val="22"/>
        </w:rPr>
        <w:t xml:space="preserve"> </w:t>
      </w:r>
      <w:r w:rsidR="00FB0767">
        <w:rPr>
          <w:sz w:val="22"/>
          <w:szCs w:val="22"/>
        </w:rPr>
        <w:t xml:space="preserve">The auxiliary boiler </w:t>
      </w:r>
      <w:r w:rsidR="00FB0767" w:rsidRPr="00FB0767">
        <w:rPr>
          <w:sz w:val="22"/>
          <w:szCs w:val="22"/>
        </w:rPr>
        <w:t>will be used to provide steam and steam cleaning during construction and initial startup of the CTG/HRSG/STG combined cycle unit</w:t>
      </w:r>
      <w:r w:rsidR="00FB0767">
        <w:rPr>
          <w:sz w:val="22"/>
          <w:szCs w:val="22"/>
        </w:rPr>
        <w:t xml:space="preserve">. </w:t>
      </w:r>
      <w:r w:rsidR="00FB0767" w:rsidRPr="00FB0767">
        <w:rPr>
          <w:sz w:val="22"/>
          <w:szCs w:val="22"/>
        </w:rPr>
        <w:t xml:space="preserve"> </w:t>
      </w:r>
      <w:r w:rsidR="00104AE7" w:rsidRPr="00104AE7">
        <w:rPr>
          <w:sz w:val="22"/>
          <w:szCs w:val="22"/>
        </w:rPr>
        <w:t>The auxiliary boiler will also provide steam to the combined</w:t>
      </w:r>
      <w:r w:rsidR="00104AE7">
        <w:rPr>
          <w:sz w:val="22"/>
          <w:szCs w:val="22"/>
        </w:rPr>
        <w:t xml:space="preserve"> </w:t>
      </w:r>
      <w:r w:rsidR="00104AE7" w:rsidRPr="00104AE7">
        <w:rPr>
          <w:sz w:val="22"/>
          <w:szCs w:val="22"/>
        </w:rPr>
        <w:t>cycle unit during cold, warm and hot startups and when the combined cycle unit is being shut down</w:t>
      </w:r>
      <w:r w:rsidR="0028453E" w:rsidRPr="0028453E">
        <w:rPr>
          <w:sz w:val="22"/>
          <w:szCs w:val="22"/>
        </w:rPr>
        <w:t>, as well as when steam is not available from the HRSG</w:t>
      </w:r>
      <w:r w:rsidR="00104AE7" w:rsidRPr="00104AE7">
        <w:rPr>
          <w:sz w:val="22"/>
          <w:szCs w:val="22"/>
        </w:rPr>
        <w:t>.</w:t>
      </w:r>
      <w:r w:rsidR="00104AE7">
        <w:rPr>
          <w:sz w:val="22"/>
          <w:szCs w:val="22"/>
        </w:rPr>
        <w:t xml:space="preserve">  </w:t>
      </w:r>
      <w:r w:rsidR="009B04BC">
        <w:rPr>
          <w:sz w:val="22"/>
          <w:szCs w:val="22"/>
        </w:rPr>
        <w:t>As seen in</w:t>
      </w:r>
      <w:r w:rsidR="004A1D9B">
        <w:rPr>
          <w:sz w:val="22"/>
          <w:szCs w:val="22"/>
        </w:rPr>
        <w:t xml:space="preserve"> </w:t>
      </w:r>
      <w:r w:rsidR="004A1D9B" w:rsidRPr="004A1D9B">
        <w:rPr>
          <w:rFonts w:ascii="Times New Roman Bold" w:hAnsi="Times New Roman Bold"/>
          <w:b/>
          <w:sz w:val="22"/>
          <w:szCs w:val="22"/>
        </w:rPr>
        <w:fldChar w:fldCharType="begin"/>
      </w:r>
      <w:r w:rsidR="004A1D9B" w:rsidRPr="004A1D9B">
        <w:rPr>
          <w:rFonts w:ascii="Times New Roman Bold" w:hAnsi="Times New Roman Bold"/>
          <w:b/>
          <w:sz w:val="22"/>
          <w:szCs w:val="22"/>
        </w:rPr>
        <w:instrText xml:space="preserve"> REF _Ref513616510 \h </w:instrText>
      </w:r>
      <w:r w:rsidR="004A1D9B">
        <w:rPr>
          <w:rFonts w:ascii="Times New Roman Bold" w:hAnsi="Times New Roman Bold"/>
          <w:b/>
          <w:sz w:val="22"/>
          <w:szCs w:val="22"/>
        </w:rPr>
        <w:instrText xml:space="preserve"> \* MERGEFORMAT </w:instrText>
      </w:r>
      <w:r w:rsidR="004A1D9B" w:rsidRPr="004A1D9B">
        <w:rPr>
          <w:rFonts w:ascii="Times New Roman Bold" w:hAnsi="Times New Roman Bold"/>
          <w:b/>
          <w:sz w:val="22"/>
          <w:szCs w:val="22"/>
        </w:rPr>
      </w:r>
      <w:r w:rsidR="004A1D9B" w:rsidRPr="004A1D9B">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4</w:t>
      </w:r>
      <w:r w:rsidR="004A1D9B" w:rsidRPr="004A1D9B">
        <w:rPr>
          <w:rFonts w:ascii="Times New Roman Bold" w:hAnsi="Times New Roman Bold"/>
          <w:b/>
          <w:sz w:val="22"/>
          <w:szCs w:val="22"/>
        </w:rPr>
        <w:fldChar w:fldCharType="end"/>
      </w:r>
      <w:r w:rsidR="005C5378">
        <w:rPr>
          <w:sz w:val="22"/>
          <w:szCs w:val="22"/>
        </w:rPr>
        <w:t xml:space="preserve">, the primary </w:t>
      </w:r>
      <w:r w:rsidR="00FB0767">
        <w:rPr>
          <w:sz w:val="22"/>
          <w:szCs w:val="22"/>
        </w:rPr>
        <w:t xml:space="preserve">potential </w:t>
      </w:r>
      <w:r w:rsidR="00F72278">
        <w:rPr>
          <w:sz w:val="22"/>
          <w:szCs w:val="22"/>
        </w:rPr>
        <w:t>emissions</w:t>
      </w:r>
      <w:r w:rsidR="005C5378">
        <w:rPr>
          <w:sz w:val="22"/>
          <w:szCs w:val="22"/>
        </w:rPr>
        <w:t xml:space="preserve"> </w:t>
      </w:r>
      <w:r w:rsidR="003A300A">
        <w:rPr>
          <w:sz w:val="22"/>
          <w:szCs w:val="22"/>
        </w:rPr>
        <w:t xml:space="preserve">are </w:t>
      </w:r>
      <w:r w:rsidR="00F72278">
        <w:rPr>
          <w:sz w:val="22"/>
          <w:szCs w:val="22"/>
        </w:rPr>
        <w:t xml:space="preserve">attributed to </w:t>
      </w:r>
      <w:r w:rsidR="003A300A">
        <w:rPr>
          <w:sz w:val="22"/>
          <w:szCs w:val="22"/>
        </w:rPr>
        <w:t>NO</w:t>
      </w:r>
      <w:r w:rsidR="00EC4F68">
        <w:rPr>
          <w:sz w:val="22"/>
          <w:szCs w:val="22"/>
          <w:vertAlign w:val="subscript"/>
        </w:rPr>
        <w:t>X</w:t>
      </w:r>
      <w:r w:rsidR="003A300A">
        <w:rPr>
          <w:sz w:val="22"/>
          <w:szCs w:val="22"/>
        </w:rPr>
        <w:t>, CO and GHG.</w:t>
      </w:r>
    </w:p>
    <w:p w:rsidR="002937DA" w:rsidRPr="006C19BE" w:rsidRDefault="002937DA" w:rsidP="002937DA">
      <w:pPr>
        <w:widowControl w:val="0"/>
        <w:spacing w:after="120"/>
        <w:rPr>
          <w:sz w:val="22"/>
          <w:szCs w:val="22"/>
          <w:u w:val="single"/>
        </w:rPr>
      </w:pPr>
      <w:r w:rsidRPr="006C19BE">
        <w:rPr>
          <w:sz w:val="22"/>
          <w:szCs w:val="22"/>
          <w:u w:val="single"/>
        </w:rPr>
        <w:t>Identification of Control Technologies</w:t>
      </w:r>
    </w:p>
    <w:p w:rsidR="00554156" w:rsidRDefault="00554156" w:rsidP="00226E61">
      <w:pPr>
        <w:widowControl w:val="0"/>
        <w:spacing w:after="120"/>
        <w:rPr>
          <w:sz w:val="22"/>
          <w:szCs w:val="22"/>
        </w:rPr>
      </w:pPr>
      <w:r>
        <w:rPr>
          <w:sz w:val="22"/>
          <w:szCs w:val="22"/>
        </w:rPr>
        <w:t xml:space="preserve">In addition to the </w:t>
      </w:r>
      <w:r w:rsidR="00226E61">
        <w:rPr>
          <w:sz w:val="22"/>
          <w:szCs w:val="22"/>
        </w:rPr>
        <w:t>control technologies previously identified, the auxiliary boiler may also utilize a f</w:t>
      </w:r>
      <w:r w:rsidR="00226E61" w:rsidRPr="00226E61">
        <w:rPr>
          <w:sz w:val="22"/>
          <w:szCs w:val="22"/>
        </w:rPr>
        <w:t>lue gas recirculation (FGR)</w:t>
      </w:r>
      <w:r w:rsidR="00226E61">
        <w:rPr>
          <w:sz w:val="22"/>
          <w:szCs w:val="22"/>
        </w:rPr>
        <w:t xml:space="preserve"> system.  In an FGR</w:t>
      </w:r>
      <w:r w:rsidR="00226E61" w:rsidRPr="00226E61">
        <w:t xml:space="preserve"> </w:t>
      </w:r>
      <w:r w:rsidR="00226E61" w:rsidRPr="00226E61">
        <w:rPr>
          <w:sz w:val="22"/>
          <w:szCs w:val="22"/>
        </w:rPr>
        <w:t>system, a portion of the flue gas is recycled from the stack to</w:t>
      </w:r>
      <w:r w:rsidR="00226E61">
        <w:rPr>
          <w:sz w:val="22"/>
          <w:szCs w:val="22"/>
        </w:rPr>
        <w:t xml:space="preserve"> </w:t>
      </w:r>
      <w:r w:rsidR="00226E61" w:rsidRPr="00226E61">
        <w:rPr>
          <w:sz w:val="22"/>
          <w:szCs w:val="22"/>
        </w:rPr>
        <w:t>the burner windbox.</w:t>
      </w:r>
      <w:r w:rsidR="00226E61">
        <w:rPr>
          <w:sz w:val="22"/>
          <w:szCs w:val="22"/>
        </w:rPr>
        <w:t xml:space="preserve"> </w:t>
      </w:r>
      <w:r w:rsidR="00226E61" w:rsidRPr="00226E61">
        <w:rPr>
          <w:sz w:val="22"/>
          <w:szCs w:val="22"/>
        </w:rPr>
        <w:t xml:space="preserve"> Upon entering the windbox, the gas is mixed with combustion air prior to being</w:t>
      </w:r>
      <w:r w:rsidR="00226E61">
        <w:rPr>
          <w:sz w:val="22"/>
          <w:szCs w:val="22"/>
        </w:rPr>
        <w:t xml:space="preserve"> </w:t>
      </w:r>
      <w:r w:rsidR="00226E61" w:rsidRPr="00226E61">
        <w:rPr>
          <w:sz w:val="22"/>
          <w:szCs w:val="22"/>
        </w:rPr>
        <w:t>fed to the burner.</w:t>
      </w:r>
      <w:r w:rsidR="00343A65">
        <w:rPr>
          <w:sz w:val="22"/>
          <w:szCs w:val="22"/>
        </w:rPr>
        <w:t xml:space="preserve"> </w:t>
      </w:r>
      <w:r w:rsidR="00226E61" w:rsidRPr="00226E61">
        <w:rPr>
          <w:sz w:val="22"/>
          <w:szCs w:val="22"/>
        </w:rPr>
        <w:t xml:space="preserve"> The FGR system reduces </w:t>
      </w:r>
      <w:r w:rsidR="00F807D1" w:rsidRPr="00226E61">
        <w:rPr>
          <w:sz w:val="22"/>
          <w:szCs w:val="22"/>
        </w:rPr>
        <w:t>NO</w:t>
      </w:r>
      <w:r w:rsidR="00F807D1" w:rsidRPr="00F807D1">
        <w:rPr>
          <w:sz w:val="22"/>
          <w:szCs w:val="22"/>
          <w:vertAlign w:val="subscript"/>
        </w:rPr>
        <w:t>X</w:t>
      </w:r>
      <w:r w:rsidR="00226E61" w:rsidRPr="00226E61">
        <w:rPr>
          <w:sz w:val="22"/>
          <w:szCs w:val="22"/>
        </w:rPr>
        <w:t xml:space="preserve"> emissions by two mechanisms. </w:t>
      </w:r>
      <w:r w:rsidR="00226E61">
        <w:rPr>
          <w:sz w:val="22"/>
          <w:szCs w:val="22"/>
        </w:rPr>
        <w:t xml:space="preserve"> </w:t>
      </w:r>
      <w:r w:rsidR="00226E61" w:rsidRPr="00226E61">
        <w:rPr>
          <w:sz w:val="22"/>
          <w:szCs w:val="22"/>
        </w:rPr>
        <w:t>The recycled flue</w:t>
      </w:r>
      <w:r w:rsidR="00226E61">
        <w:rPr>
          <w:sz w:val="22"/>
          <w:szCs w:val="22"/>
        </w:rPr>
        <w:t xml:space="preserve"> </w:t>
      </w:r>
      <w:r w:rsidR="00226E61" w:rsidRPr="00226E61">
        <w:rPr>
          <w:sz w:val="22"/>
          <w:szCs w:val="22"/>
        </w:rPr>
        <w:t xml:space="preserve">gas comprises combustion products which act as inert during combustion of the fuel/air mixture. </w:t>
      </w:r>
      <w:r w:rsidR="00226E61">
        <w:rPr>
          <w:sz w:val="22"/>
          <w:szCs w:val="22"/>
        </w:rPr>
        <w:t xml:space="preserve"> </w:t>
      </w:r>
      <w:r w:rsidR="00226E61" w:rsidRPr="00226E61">
        <w:rPr>
          <w:sz w:val="22"/>
          <w:szCs w:val="22"/>
        </w:rPr>
        <w:t>This</w:t>
      </w:r>
      <w:r w:rsidR="00226E61">
        <w:rPr>
          <w:sz w:val="22"/>
          <w:szCs w:val="22"/>
        </w:rPr>
        <w:t xml:space="preserve"> </w:t>
      </w:r>
      <w:r w:rsidR="00226E61" w:rsidRPr="00226E61">
        <w:rPr>
          <w:sz w:val="22"/>
          <w:szCs w:val="22"/>
        </w:rPr>
        <w:t>additional mass is heated in the combustion zone, thereby lowering the peak flame temperature and</w:t>
      </w:r>
      <w:r w:rsidR="00226E61">
        <w:rPr>
          <w:sz w:val="22"/>
          <w:szCs w:val="22"/>
        </w:rPr>
        <w:t xml:space="preserve"> </w:t>
      </w:r>
      <w:r w:rsidR="00226E61" w:rsidRPr="00226E61">
        <w:rPr>
          <w:sz w:val="22"/>
          <w:szCs w:val="22"/>
        </w:rPr>
        <w:t xml:space="preserve">reducing the amount of </w:t>
      </w:r>
      <w:r w:rsidR="00EC4F68">
        <w:rPr>
          <w:sz w:val="22"/>
          <w:szCs w:val="22"/>
        </w:rPr>
        <w:t xml:space="preserve">thermal </w:t>
      </w:r>
      <w:r w:rsidR="00226E61" w:rsidRPr="00226E61">
        <w:rPr>
          <w:sz w:val="22"/>
          <w:szCs w:val="22"/>
        </w:rPr>
        <w:t>NO</w:t>
      </w:r>
      <w:r w:rsidR="00F807D1" w:rsidRPr="00F807D1">
        <w:rPr>
          <w:sz w:val="22"/>
          <w:szCs w:val="22"/>
          <w:vertAlign w:val="subscript"/>
        </w:rPr>
        <w:t>X</w:t>
      </w:r>
      <w:r w:rsidR="00226E61" w:rsidRPr="00226E61">
        <w:rPr>
          <w:sz w:val="22"/>
          <w:szCs w:val="22"/>
        </w:rPr>
        <w:t xml:space="preserve"> formed.</w:t>
      </w:r>
      <w:r w:rsidR="00226E61">
        <w:rPr>
          <w:sz w:val="22"/>
          <w:szCs w:val="22"/>
        </w:rPr>
        <w:t xml:space="preserve"> </w:t>
      </w:r>
      <w:r w:rsidR="00226E61" w:rsidRPr="00226E61">
        <w:rPr>
          <w:sz w:val="22"/>
          <w:szCs w:val="22"/>
        </w:rPr>
        <w:t xml:space="preserve"> To a lesser extent, FGR also reduces </w:t>
      </w:r>
      <w:r w:rsidR="00F807D1" w:rsidRPr="00226E61">
        <w:rPr>
          <w:sz w:val="22"/>
          <w:szCs w:val="22"/>
        </w:rPr>
        <w:t>NO</w:t>
      </w:r>
      <w:r w:rsidR="00F807D1" w:rsidRPr="00F807D1">
        <w:rPr>
          <w:sz w:val="22"/>
          <w:szCs w:val="22"/>
          <w:vertAlign w:val="subscript"/>
        </w:rPr>
        <w:t>X</w:t>
      </w:r>
      <w:r w:rsidR="00226E61" w:rsidRPr="00226E61">
        <w:rPr>
          <w:sz w:val="22"/>
          <w:szCs w:val="22"/>
        </w:rPr>
        <w:t xml:space="preserve"> formation by</w:t>
      </w:r>
      <w:r w:rsidR="00226E61">
        <w:rPr>
          <w:sz w:val="22"/>
          <w:szCs w:val="22"/>
        </w:rPr>
        <w:t xml:space="preserve"> </w:t>
      </w:r>
      <w:r w:rsidR="00226E61" w:rsidRPr="00226E61">
        <w:rPr>
          <w:sz w:val="22"/>
          <w:szCs w:val="22"/>
        </w:rPr>
        <w:t xml:space="preserve">lowering the oxygen concentration in the primary flame zone. </w:t>
      </w:r>
      <w:r w:rsidR="00226E61">
        <w:rPr>
          <w:sz w:val="22"/>
          <w:szCs w:val="22"/>
        </w:rPr>
        <w:t xml:space="preserve"> </w:t>
      </w:r>
      <w:r w:rsidR="00226E61" w:rsidRPr="00226E61">
        <w:rPr>
          <w:sz w:val="22"/>
          <w:szCs w:val="22"/>
        </w:rPr>
        <w:t>The amount of flue gas recirculated is a</w:t>
      </w:r>
      <w:r w:rsidR="00226E61">
        <w:rPr>
          <w:sz w:val="22"/>
          <w:szCs w:val="22"/>
        </w:rPr>
        <w:t xml:space="preserve"> </w:t>
      </w:r>
      <w:r w:rsidR="00226E61" w:rsidRPr="00226E61">
        <w:rPr>
          <w:sz w:val="22"/>
          <w:szCs w:val="22"/>
        </w:rPr>
        <w:t xml:space="preserve">key operating parameter influencing </w:t>
      </w:r>
      <w:r w:rsidR="00F807D1" w:rsidRPr="00226E61">
        <w:rPr>
          <w:sz w:val="22"/>
          <w:szCs w:val="22"/>
        </w:rPr>
        <w:t>NO</w:t>
      </w:r>
      <w:r w:rsidR="00F807D1" w:rsidRPr="00F807D1">
        <w:rPr>
          <w:sz w:val="22"/>
          <w:szCs w:val="22"/>
          <w:vertAlign w:val="subscript"/>
        </w:rPr>
        <w:t>X</w:t>
      </w:r>
      <w:r w:rsidR="00226E61" w:rsidRPr="00226E61">
        <w:rPr>
          <w:sz w:val="22"/>
          <w:szCs w:val="22"/>
        </w:rPr>
        <w:t xml:space="preserve"> emission rates for these systems. </w:t>
      </w:r>
      <w:r w:rsidR="00226E61">
        <w:rPr>
          <w:sz w:val="22"/>
          <w:szCs w:val="22"/>
        </w:rPr>
        <w:t xml:space="preserve"> </w:t>
      </w:r>
      <w:r w:rsidR="00226E61" w:rsidRPr="00226E61">
        <w:rPr>
          <w:sz w:val="22"/>
          <w:szCs w:val="22"/>
        </w:rPr>
        <w:t>Flue gas recirculation is</w:t>
      </w:r>
      <w:r w:rsidR="00226E61">
        <w:rPr>
          <w:sz w:val="22"/>
          <w:szCs w:val="22"/>
        </w:rPr>
        <w:t xml:space="preserve"> </w:t>
      </w:r>
      <w:r w:rsidR="00226E61" w:rsidRPr="00226E61">
        <w:rPr>
          <w:sz w:val="22"/>
          <w:szCs w:val="22"/>
        </w:rPr>
        <w:t xml:space="preserve">normally used in combination with specially designed low </w:t>
      </w:r>
      <w:r w:rsidR="001956C5" w:rsidRPr="00226E61">
        <w:rPr>
          <w:sz w:val="22"/>
          <w:szCs w:val="22"/>
        </w:rPr>
        <w:t>NO</w:t>
      </w:r>
      <w:r w:rsidR="001956C5" w:rsidRPr="00F807D1">
        <w:rPr>
          <w:sz w:val="22"/>
          <w:szCs w:val="22"/>
          <w:vertAlign w:val="subscript"/>
        </w:rPr>
        <w:t>X</w:t>
      </w:r>
      <w:r w:rsidR="00226E61" w:rsidRPr="00226E61">
        <w:rPr>
          <w:sz w:val="22"/>
          <w:szCs w:val="22"/>
        </w:rPr>
        <w:t xml:space="preserve"> burners capable of improved flame</w:t>
      </w:r>
      <w:r w:rsidR="00226E61">
        <w:rPr>
          <w:sz w:val="22"/>
          <w:szCs w:val="22"/>
        </w:rPr>
        <w:t xml:space="preserve"> </w:t>
      </w:r>
      <w:r w:rsidR="00226E61" w:rsidRPr="00226E61">
        <w:rPr>
          <w:sz w:val="22"/>
          <w:szCs w:val="22"/>
        </w:rPr>
        <w:t xml:space="preserve">holding. </w:t>
      </w:r>
      <w:r w:rsidR="00226E61">
        <w:rPr>
          <w:sz w:val="22"/>
          <w:szCs w:val="22"/>
        </w:rPr>
        <w:t xml:space="preserve"> </w:t>
      </w:r>
      <w:r w:rsidR="00226E61" w:rsidRPr="00226E61">
        <w:rPr>
          <w:sz w:val="22"/>
          <w:szCs w:val="22"/>
        </w:rPr>
        <w:t xml:space="preserve">When used in combination, these techniques are capable of reducing uncontrolled </w:t>
      </w:r>
      <w:r w:rsidR="001956C5" w:rsidRPr="00226E61">
        <w:rPr>
          <w:sz w:val="22"/>
          <w:szCs w:val="22"/>
        </w:rPr>
        <w:t>NO</w:t>
      </w:r>
      <w:r w:rsidR="001956C5" w:rsidRPr="00F807D1">
        <w:rPr>
          <w:sz w:val="22"/>
          <w:szCs w:val="22"/>
          <w:vertAlign w:val="subscript"/>
        </w:rPr>
        <w:t>X</w:t>
      </w:r>
      <w:r w:rsidR="00226E61">
        <w:rPr>
          <w:sz w:val="22"/>
          <w:szCs w:val="22"/>
        </w:rPr>
        <w:t xml:space="preserve"> </w:t>
      </w:r>
      <w:r w:rsidR="00226E61" w:rsidRPr="00226E61">
        <w:rPr>
          <w:sz w:val="22"/>
          <w:szCs w:val="22"/>
        </w:rPr>
        <w:t>emissions by 60 to 90 percent.</w:t>
      </w:r>
      <w:r w:rsidR="005D5AAA">
        <w:rPr>
          <w:rStyle w:val="FootnoteReference"/>
          <w:sz w:val="22"/>
          <w:szCs w:val="22"/>
        </w:rPr>
        <w:footnoteReference w:id="10"/>
      </w:r>
    </w:p>
    <w:p w:rsidR="002937DA" w:rsidRPr="006C19BE" w:rsidRDefault="002937DA" w:rsidP="002937DA">
      <w:pPr>
        <w:widowControl w:val="0"/>
        <w:spacing w:after="120"/>
        <w:rPr>
          <w:sz w:val="22"/>
          <w:szCs w:val="22"/>
          <w:u w:val="single"/>
        </w:rPr>
      </w:pPr>
      <w:r w:rsidRPr="006C19BE">
        <w:rPr>
          <w:sz w:val="22"/>
          <w:szCs w:val="22"/>
          <w:u w:val="single"/>
        </w:rPr>
        <w:t>Discussion of Technically Infeasible Control Options and Ranking of Remaining Options</w:t>
      </w:r>
    </w:p>
    <w:p w:rsidR="003330FD" w:rsidRDefault="004B211F" w:rsidP="00560DAF">
      <w:pPr>
        <w:widowControl w:val="0"/>
        <w:spacing w:after="120"/>
        <w:rPr>
          <w:sz w:val="22"/>
          <w:szCs w:val="22"/>
        </w:rPr>
      </w:pPr>
      <w:r>
        <w:rPr>
          <w:sz w:val="22"/>
          <w:szCs w:val="22"/>
        </w:rPr>
        <w:t xml:space="preserve">The </w:t>
      </w:r>
      <w:r w:rsidR="00560DAF">
        <w:rPr>
          <w:sz w:val="22"/>
          <w:szCs w:val="22"/>
        </w:rPr>
        <w:t>boiler will</w:t>
      </w:r>
      <w:r w:rsidR="00560DAF" w:rsidRPr="00560DAF">
        <w:rPr>
          <w:sz w:val="22"/>
          <w:szCs w:val="22"/>
        </w:rPr>
        <w:t xml:space="preserve"> not</w:t>
      </w:r>
      <w:r w:rsidR="00560DAF">
        <w:rPr>
          <w:sz w:val="22"/>
          <w:szCs w:val="22"/>
        </w:rPr>
        <w:t xml:space="preserve"> be</w:t>
      </w:r>
      <w:r w:rsidR="00560DAF" w:rsidRPr="00560DAF">
        <w:rPr>
          <w:sz w:val="22"/>
          <w:szCs w:val="22"/>
        </w:rPr>
        <w:t xml:space="preserve"> operated</w:t>
      </w:r>
      <w:r w:rsidR="00560DAF">
        <w:rPr>
          <w:sz w:val="22"/>
          <w:szCs w:val="22"/>
        </w:rPr>
        <w:t xml:space="preserve"> </w:t>
      </w:r>
      <w:r w:rsidR="00560DAF" w:rsidRPr="00560DAF">
        <w:rPr>
          <w:sz w:val="22"/>
          <w:szCs w:val="22"/>
        </w:rPr>
        <w:t>continuously or at the rated capacit</w:t>
      </w:r>
      <w:r w:rsidR="00395B73">
        <w:rPr>
          <w:sz w:val="22"/>
          <w:szCs w:val="22"/>
        </w:rPr>
        <w:t>y</w:t>
      </w:r>
      <w:r w:rsidR="00560DAF" w:rsidRPr="00560DAF">
        <w:rPr>
          <w:sz w:val="22"/>
          <w:szCs w:val="22"/>
        </w:rPr>
        <w:t xml:space="preserve"> making the addition of control equipment problematic and</w:t>
      </w:r>
      <w:r w:rsidR="00560DAF">
        <w:rPr>
          <w:sz w:val="22"/>
          <w:szCs w:val="22"/>
        </w:rPr>
        <w:t xml:space="preserve"> </w:t>
      </w:r>
      <w:r w:rsidR="00560DAF" w:rsidRPr="00560DAF">
        <w:rPr>
          <w:sz w:val="22"/>
          <w:szCs w:val="22"/>
        </w:rPr>
        <w:t>prohibitively expensive.</w:t>
      </w:r>
      <w:r w:rsidR="00F15E60" w:rsidRPr="00F15E60">
        <w:rPr>
          <w:sz w:val="22"/>
          <w:szCs w:val="22"/>
        </w:rPr>
        <w:t xml:space="preserve"> </w:t>
      </w:r>
      <w:r w:rsidR="00F15E60">
        <w:rPr>
          <w:sz w:val="22"/>
          <w:szCs w:val="22"/>
        </w:rPr>
        <w:t xml:space="preserve"> </w:t>
      </w:r>
      <w:r w:rsidR="00C067F0" w:rsidRPr="00C067F0">
        <w:rPr>
          <w:sz w:val="22"/>
          <w:szCs w:val="22"/>
        </w:rPr>
        <w:t>The addition of add-on controls such as fabric filters for PM control and FGD for SO</w:t>
      </w:r>
      <w:r w:rsidR="00C067F0" w:rsidRPr="009040E5">
        <w:rPr>
          <w:sz w:val="22"/>
          <w:szCs w:val="22"/>
          <w:vertAlign w:val="subscript"/>
        </w:rPr>
        <w:t>2</w:t>
      </w:r>
      <w:r w:rsidR="00C067F0" w:rsidRPr="00C067F0">
        <w:rPr>
          <w:sz w:val="22"/>
          <w:szCs w:val="22"/>
        </w:rPr>
        <w:t xml:space="preserve"> removal would not result in meaningful emission reductions (less than 1 TPY combined).  </w:t>
      </w:r>
      <w:r w:rsidR="00395B73" w:rsidRPr="00395B73">
        <w:rPr>
          <w:sz w:val="22"/>
          <w:szCs w:val="22"/>
        </w:rPr>
        <w:t xml:space="preserve">CCS is also not feasible for the auxiliary </w:t>
      </w:r>
      <w:r w:rsidR="000B28CE" w:rsidRPr="00395B73">
        <w:rPr>
          <w:sz w:val="22"/>
          <w:szCs w:val="22"/>
        </w:rPr>
        <w:t>boiler;</w:t>
      </w:r>
      <w:r w:rsidR="00395B73" w:rsidRPr="00395B73">
        <w:rPr>
          <w:sz w:val="22"/>
          <w:szCs w:val="22"/>
        </w:rPr>
        <w:t xml:space="preserve"> therefore, the boiler shall utilize clean fuels and energy efficiency as the top control option for GHG.</w:t>
      </w:r>
      <w:r w:rsidR="000B28CE" w:rsidRPr="000B28CE">
        <w:rPr>
          <w:sz w:val="22"/>
          <w:szCs w:val="22"/>
        </w:rPr>
        <w:t xml:space="preserve"> </w:t>
      </w:r>
      <w:r w:rsidR="000B28CE">
        <w:rPr>
          <w:sz w:val="22"/>
          <w:szCs w:val="22"/>
        </w:rPr>
        <w:t xml:space="preserve"> The limited sulfur content in the natural gas shall also serve as the top control option for limiting emissions in SO</w:t>
      </w:r>
      <w:r w:rsidR="000B28CE" w:rsidRPr="000B28CE">
        <w:rPr>
          <w:sz w:val="22"/>
          <w:szCs w:val="22"/>
          <w:vertAlign w:val="subscript"/>
        </w:rPr>
        <w:t>2</w:t>
      </w:r>
      <w:r w:rsidR="000B28CE">
        <w:rPr>
          <w:sz w:val="22"/>
          <w:szCs w:val="22"/>
        </w:rPr>
        <w:t xml:space="preserve"> and SAM.  In addition, the applicant has selected the use of </w:t>
      </w:r>
      <w:r w:rsidR="000B28CE" w:rsidRPr="00A14002">
        <w:rPr>
          <w:sz w:val="22"/>
          <w:szCs w:val="22"/>
        </w:rPr>
        <w:t xml:space="preserve">LNBs to minimize emissions of </w:t>
      </w:r>
      <w:r w:rsidR="00016C49" w:rsidRPr="00226E61">
        <w:rPr>
          <w:sz w:val="22"/>
          <w:szCs w:val="22"/>
        </w:rPr>
        <w:t>NO</w:t>
      </w:r>
      <w:r w:rsidR="00016C49" w:rsidRPr="00F807D1">
        <w:rPr>
          <w:sz w:val="22"/>
          <w:szCs w:val="22"/>
          <w:vertAlign w:val="subscript"/>
        </w:rPr>
        <w:t>X</w:t>
      </w:r>
      <w:r w:rsidR="000B28CE">
        <w:rPr>
          <w:sz w:val="22"/>
          <w:szCs w:val="22"/>
        </w:rPr>
        <w:t>,</w:t>
      </w:r>
      <w:r w:rsidR="000B28CE" w:rsidRPr="00A14002">
        <w:rPr>
          <w:sz w:val="22"/>
          <w:szCs w:val="22"/>
        </w:rPr>
        <w:t xml:space="preserve"> while maintaining low</w:t>
      </w:r>
      <w:r w:rsidR="000B28CE">
        <w:rPr>
          <w:sz w:val="22"/>
          <w:szCs w:val="22"/>
        </w:rPr>
        <w:t xml:space="preserve"> </w:t>
      </w:r>
      <w:r w:rsidR="000B28CE" w:rsidRPr="00A14002">
        <w:rPr>
          <w:sz w:val="22"/>
          <w:szCs w:val="22"/>
        </w:rPr>
        <w:t xml:space="preserve">CO emissions through </w:t>
      </w:r>
      <w:r w:rsidR="000B28CE">
        <w:rPr>
          <w:sz w:val="22"/>
          <w:szCs w:val="22"/>
        </w:rPr>
        <w:t>GC</w:t>
      </w:r>
      <w:r w:rsidR="000B28CE" w:rsidRPr="00395B73">
        <w:rPr>
          <w:sz w:val="22"/>
          <w:szCs w:val="22"/>
        </w:rPr>
        <w:t>P.</w:t>
      </w:r>
    </w:p>
    <w:p w:rsidR="00560DAF" w:rsidRDefault="00560DAF" w:rsidP="002937DA">
      <w:pPr>
        <w:widowControl w:val="0"/>
        <w:spacing w:after="120"/>
        <w:rPr>
          <w:sz w:val="22"/>
          <w:szCs w:val="22"/>
          <w:u w:val="single"/>
        </w:rPr>
      </w:pPr>
      <w:r w:rsidRPr="00560DAF">
        <w:rPr>
          <w:sz w:val="22"/>
          <w:szCs w:val="22"/>
          <w:u w:val="single"/>
        </w:rPr>
        <w:t>Evaluation of Economic, Environmental, and Energy Impacts of Feasible Technologies</w:t>
      </w:r>
    </w:p>
    <w:p w:rsidR="00560DAF" w:rsidRDefault="00395B73" w:rsidP="00A64348">
      <w:pPr>
        <w:widowControl w:val="0"/>
        <w:spacing w:after="120"/>
        <w:rPr>
          <w:sz w:val="22"/>
          <w:szCs w:val="22"/>
        </w:rPr>
      </w:pPr>
      <w:r w:rsidRPr="00C067F0">
        <w:rPr>
          <w:sz w:val="22"/>
          <w:szCs w:val="22"/>
        </w:rPr>
        <w:t>The additional cost would make the add-on control</w:t>
      </w:r>
      <w:r w:rsidR="00BD049B">
        <w:rPr>
          <w:sz w:val="22"/>
          <w:szCs w:val="22"/>
        </w:rPr>
        <w:t xml:space="preserve"> technologies</w:t>
      </w:r>
      <w:r w:rsidRPr="00C067F0">
        <w:rPr>
          <w:sz w:val="22"/>
          <w:szCs w:val="22"/>
        </w:rPr>
        <w:t xml:space="preserve"> cost prohibitive</w:t>
      </w:r>
      <w:r>
        <w:rPr>
          <w:sz w:val="22"/>
          <w:szCs w:val="22"/>
        </w:rPr>
        <w:t xml:space="preserve">. </w:t>
      </w:r>
      <w:r w:rsidRPr="00395B73">
        <w:rPr>
          <w:sz w:val="22"/>
          <w:szCs w:val="22"/>
        </w:rPr>
        <w:t xml:space="preserve"> </w:t>
      </w:r>
      <w:r>
        <w:rPr>
          <w:sz w:val="22"/>
          <w:szCs w:val="22"/>
        </w:rPr>
        <w:t>Furthermore, t</w:t>
      </w:r>
      <w:r w:rsidR="00560DAF" w:rsidRPr="00560DAF">
        <w:rPr>
          <w:sz w:val="22"/>
          <w:szCs w:val="22"/>
        </w:rPr>
        <w:t>he auxiliary boiler will be used to provide steam to the steam cycle during the startup sequences</w:t>
      </w:r>
      <w:r w:rsidR="00AC75F5">
        <w:rPr>
          <w:sz w:val="22"/>
          <w:szCs w:val="22"/>
        </w:rPr>
        <w:t>.</w:t>
      </w:r>
    </w:p>
    <w:p w:rsidR="008F4823" w:rsidRDefault="008F4823" w:rsidP="008F4823">
      <w:pPr>
        <w:widowControl w:val="0"/>
        <w:spacing w:after="120"/>
        <w:rPr>
          <w:sz w:val="22"/>
          <w:szCs w:val="22"/>
        </w:rPr>
      </w:pPr>
      <w:r w:rsidRPr="008F4823">
        <w:rPr>
          <w:sz w:val="22"/>
          <w:szCs w:val="22"/>
        </w:rPr>
        <w:t>GHG emissions for natural gas firing is 116.9 lb CO</w:t>
      </w:r>
      <w:r w:rsidRPr="00A85CC9">
        <w:rPr>
          <w:sz w:val="22"/>
          <w:szCs w:val="22"/>
          <w:vertAlign w:val="subscript"/>
        </w:rPr>
        <w:t>2</w:t>
      </w:r>
      <w:r w:rsidRPr="008F4823">
        <w:rPr>
          <w:sz w:val="22"/>
          <w:szCs w:val="22"/>
        </w:rPr>
        <w:t>e/MMBtu</w:t>
      </w:r>
      <w:r>
        <w:rPr>
          <w:sz w:val="22"/>
          <w:szCs w:val="22"/>
        </w:rPr>
        <w:t xml:space="preserve"> </w:t>
      </w:r>
      <w:r w:rsidRPr="008F4823">
        <w:rPr>
          <w:sz w:val="22"/>
          <w:szCs w:val="22"/>
        </w:rPr>
        <w:t>compared to 163.6 lb CO</w:t>
      </w:r>
      <w:r w:rsidRPr="00A85CC9">
        <w:rPr>
          <w:sz w:val="22"/>
          <w:szCs w:val="22"/>
          <w:vertAlign w:val="subscript"/>
        </w:rPr>
        <w:t>2</w:t>
      </w:r>
      <w:r w:rsidRPr="008F4823">
        <w:rPr>
          <w:sz w:val="22"/>
          <w:szCs w:val="22"/>
        </w:rPr>
        <w:t>/MMBtu for distillate fuel oil firing based on Subpart C of 40 CFR Part 98,</w:t>
      </w:r>
      <w:r>
        <w:rPr>
          <w:sz w:val="22"/>
          <w:szCs w:val="22"/>
        </w:rPr>
        <w:t xml:space="preserve"> </w:t>
      </w:r>
      <w:r w:rsidRPr="008F4823">
        <w:rPr>
          <w:sz w:val="22"/>
          <w:szCs w:val="22"/>
        </w:rPr>
        <w:t xml:space="preserve">Mandatory Greenhouse Gas Reporting. </w:t>
      </w:r>
      <w:r w:rsidR="00452A0C">
        <w:rPr>
          <w:sz w:val="22"/>
          <w:szCs w:val="22"/>
        </w:rPr>
        <w:t xml:space="preserve"> </w:t>
      </w:r>
      <w:r w:rsidRPr="008F4823">
        <w:rPr>
          <w:sz w:val="22"/>
          <w:szCs w:val="22"/>
        </w:rPr>
        <w:t>The emission factors include N</w:t>
      </w:r>
      <w:r w:rsidRPr="00D32A63">
        <w:rPr>
          <w:sz w:val="22"/>
          <w:szCs w:val="22"/>
          <w:vertAlign w:val="subscript"/>
        </w:rPr>
        <w:t>2</w:t>
      </w:r>
      <w:r w:rsidRPr="008F4823">
        <w:rPr>
          <w:sz w:val="22"/>
          <w:szCs w:val="22"/>
        </w:rPr>
        <w:t>O and CH</w:t>
      </w:r>
      <w:r w:rsidRPr="00D32A63">
        <w:rPr>
          <w:sz w:val="22"/>
          <w:szCs w:val="22"/>
          <w:vertAlign w:val="subscript"/>
        </w:rPr>
        <w:t>4</w:t>
      </w:r>
      <w:r w:rsidRPr="008F4823">
        <w:rPr>
          <w:sz w:val="22"/>
          <w:szCs w:val="22"/>
        </w:rPr>
        <w:t xml:space="preserve"> at the equivalent rates.</w:t>
      </w:r>
      <w:r>
        <w:rPr>
          <w:sz w:val="22"/>
          <w:szCs w:val="22"/>
        </w:rPr>
        <w:t xml:space="preserve">  </w:t>
      </w:r>
      <w:r w:rsidRPr="008F4823">
        <w:rPr>
          <w:sz w:val="22"/>
          <w:szCs w:val="22"/>
        </w:rPr>
        <w:t>Therefore, firing natural gas will generate less GHGs than firing ULSD oil.</w:t>
      </w:r>
    </w:p>
    <w:p w:rsidR="003C1D18" w:rsidRPr="00560DAF" w:rsidRDefault="003C1D18" w:rsidP="003C1D18">
      <w:pPr>
        <w:widowControl w:val="0"/>
        <w:spacing w:after="120"/>
        <w:rPr>
          <w:sz w:val="22"/>
          <w:szCs w:val="22"/>
        </w:rPr>
      </w:pPr>
      <w:r w:rsidRPr="003C1D18">
        <w:rPr>
          <w:sz w:val="22"/>
          <w:szCs w:val="22"/>
        </w:rPr>
        <w:t>The</w:t>
      </w:r>
      <w:r w:rsidR="00452A0C">
        <w:rPr>
          <w:sz w:val="22"/>
          <w:szCs w:val="22"/>
        </w:rPr>
        <w:t xml:space="preserve"> applicant also identified that the</w:t>
      </w:r>
      <w:r w:rsidRPr="003C1D18">
        <w:rPr>
          <w:sz w:val="22"/>
          <w:szCs w:val="22"/>
        </w:rPr>
        <w:t xml:space="preserve"> addition of </w:t>
      </w:r>
      <w:r w:rsidR="00452A0C">
        <w:rPr>
          <w:sz w:val="22"/>
          <w:szCs w:val="22"/>
        </w:rPr>
        <w:t xml:space="preserve">a </w:t>
      </w:r>
      <w:r w:rsidRPr="003C1D18">
        <w:rPr>
          <w:sz w:val="22"/>
          <w:szCs w:val="22"/>
        </w:rPr>
        <w:t>SCR</w:t>
      </w:r>
      <w:r w:rsidR="00452A0C">
        <w:rPr>
          <w:sz w:val="22"/>
          <w:szCs w:val="22"/>
        </w:rPr>
        <w:t xml:space="preserve"> system</w:t>
      </w:r>
      <w:r w:rsidRPr="003C1D18">
        <w:rPr>
          <w:sz w:val="22"/>
          <w:szCs w:val="22"/>
        </w:rPr>
        <w:t xml:space="preserve"> for</w:t>
      </w:r>
      <w:r>
        <w:rPr>
          <w:sz w:val="22"/>
          <w:szCs w:val="22"/>
        </w:rPr>
        <w:t xml:space="preserve"> </w:t>
      </w:r>
      <w:r w:rsidRPr="003C1D18">
        <w:rPr>
          <w:sz w:val="22"/>
          <w:szCs w:val="22"/>
        </w:rPr>
        <w:t xml:space="preserve">further </w:t>
      </w:r>
      <w:r w:rsidR="00016C49" w:rsidRPr="00226E61">
        <w:rPr>
          <w:sz w:val="22"/>
          <w:szCs w:val="22"/>
        </w:rPr>
        <w:t>NO</w:t>
      </w:r>
      <w:r w:rsidR="00016C49" w:rsidRPr="00F807D1">
        <w:rPr>
          <w:sz w:val="22"/>
          <w:szCs w:val="22"/>
          <w:vertAlign w:val="subscript"/>
        </w:rPr>
        <w:t>X</w:t>
      </w:r>
      <w:r w:rsidRPr="003C1D18">
        <w:rPr>
          <w:sz w:val="22"/>
          <w:szCs w:val="22"/>
        </w:rPr>
        <w:t xml:space="preserve"> control would not be cost effective since the </w:t>
      </w:r>
      <w:r w:rsidR="00016C49" w:rsidRPr="00226E61">
        <w:rPr>
          <w:sz w:val="22"/>
          <w:szCs w:val="22"/>
        </w:rPr>
        <w:t>NO</w:t>
      </w:r>
      <w:r w:rsidR="00016C49" w:rsidRPr="00F807D1">
        <w:rPr>
          <w:sz w:val="22"/>
          <w:szCs w:val="22"/>
          <w:vertAlign w:val="subscript"/>
        </w:rPr>
        <w:t>X</w:t>
      </w:r>
      <w:r w:rsidRPr="003C1D18">
        <w:rPr>
          <w:sz w:val="22"/>
          <w:szCs w:val="22"/>
        </w:rPr>
        <w:t xml:space="preserve"> reduction would be limited (less than 3 TPY)</w:t>
      </w:r>
      <w:r>
        <w:rPr>
          <w:sz w:val="22"/>
          <w:szCs w:val="22"/>
        </w:rPr>
        <w:t xml:space="preserve"> </w:t>
      </w:r>
      <w:r w:rsidRPr="003C1D18">
        <w:rPr>
          <w:sz w:val="22"/>
          <w:szCs w:val="22"/>
        </w:rPr>
        <w:t xml:space="preserve">resulting in SCR being cost prohibitive. </w:t>
      </w:r>
      <w:r w:rsidR="00452A0C">
        <w:rPr>
          <w:sz w:val="22"/>
          <w:szCs w:val="22"/>
        </w:rPr>
        <w:t xml:space="preserve"> </w:t>
      </w:r>
      <w:r w:rsidRPr="003C1D18">
        <w:rPr>
          <w:sz w:val="22"/>
          <w:szCs w:val="22"/>
        </w:rPr>
        <w:t>In addition, operation of the auxiliary boiler would be limited to</w:t>
      </w:r>
      <w:r>
        <w:rPr>
          <w:sz w:val="22"/>
          <w:szCs w:val="22"/>
        </w:rPr>
        <w:t xml:space="preserve"> </w:t>
      </w:r>
      <w:r w:rsidRPr="003C1D18">
        <w:rPr>
          <w:sz w:val="22"/>
          <w:szCs w:val="22"/>
        </w:rPr>
        <w:t>startup conditions of the CTG/HRSG limiting the amount of operation</w:t>
      </w:r>
      <w:r w:rsidR="003C7DFA">
        <w:rPr>
          <w:sz w:val="22"/>
          <w:szCs w:val="22"/>
        </w:rPr>
        <w:t xml:space="preserve"> and</w:t>
      </w:r>
      <w:r w:rsidRPr="003C1D18">
        <w:rPr>
          <w:sz w:val="22"/>
          <w:szCs w:val="22"/>
        </w:rPr>
        <w:t xml:space="preserve"> greatly </w:t>
      </w:r>
      <w:r w:rsidR="00EC4F68">
        <w:rPr>
          <w:sz w:val="22"/>
          <w:szCs w:val="22"/>
        </w:rPr>
        <w:t>decreasing</w:t>
      </w:r>
      <w:r w:rsidRPr="003C1D18">
        <w:rPr>
          <w:sz w:val="22"/>
          <w:szCs w:val="22"/>
        </w:rPr>
        <w:t xml:space="preserve"> the cost</w:t>
      </w:r>
      <w:r>
        <w:rPr>
          <w:sz w:val="22"/>
          <w:szCs w:val="22"/>
        </w:rPr>
        <w:t xml:space="preserve"> </w:t>
      </w:r>
      <w:r w:rsidRPr="003C1D18">
        <w:rPr>
          <w:sz w:val="22"/>
          <w:szCs w:val="22"/>
        </w:rPr>
        <w:t>effectiveness</w:t>
      </w:r>
      <w:r>
        <w:rPr>
          <w:sz w:val="22"/>
          <w:szCs w:val="22"/>
        </w:rPr>
        <w:t xml:space="preserve"> </w:t>
      </w:r>
      <w:r w:rsidRPr="003C1D18">
        <w:rPr>
          <w:sz w:val="22"/>
          <w:szCs w:val="22"/>
        </w:rPr>
        <w:t>of SCR.</w:t>
      </w:r>
    </w:p>
    <w:p w:rsidR="002937DA" w:rsidRDefault="002937DA" w:rsidP="002937DA">
      <w:pPr>
        <w:widowControl w:val="0"/>
        <w:spacing w:after="120"/>
        <w:rPr>
          <w:sz w:val="22"/>
          <w:szCs w:val="22"/>
          <w:u w:val="single"/>
        </w:rPr>
      </w:pPr>
      <w:r w:rsidRPr="006C19BE">
        <w:rPr>
          <w:sz w:val="22"/>
          <w:szCs w:val="22"/>
          <w:u w:val="single"/>
        </w:rPr>
        <w:t>Selection of BACT and Rationale</w:t>
      </w:r>
    </w:p>
    <w:p w:rsidR="00A11186" w:rsidRPr="000E6F0E" w:rsidRDefault="00C067F0" w:rsidP="00A11186">
      <w:pPr>
        <w:widowControl w:val="0"/>
        <w:spacing w:after="120"/>
        <w:rPr>
          <w:sz w:val="22"/>
          <w:szCs w:val="22"/>
          <w:highlight w:val="yellow"/>
        </w:rPr>
      </w:pPr>
      <w:r w:rsidRPr="00C067F0">
        <w:rPr>
          <w:sz w:val="22"/>
          <w:szCs w:val="22"/>
        </w:rPr>
        <w:t>The</w:t>
      </w:r>
      <w:r w:rsidR="004614FC">
        <w:rPr>
          <w:sz w:val="22"/>
          <w:szCs w:val="22"/>
        </w:rPr>
        <w:t xml:space="preserve"> applicant</w:t>
      </w:r>
      <w:r w:rsidRPr="00C067F0">
        <w:rPr>
          <w:sz w:val="22"/>
          <w:szCs w:val="22"/>
        </w:rPr>
        <w:t xml:space="preserve"> </w:t>
      </w:r>
      <w:r w:rsidR="004614FC">
        <w:rPr>
          <w:sz w:val="22"/>
          <w:szCs w:val="22"/>
        </w:rPr>
        <w:t xml:space="preserve">has proposed for the </w:t>
      </w:r>
      <w:r w:rsidRPr="00C067F0">
        <w:rPr>
          <w:sz w:val="22"/>
          <w:szCs w:val="22"/>
        </w:rPr>
        <w:t xml:space="preserve">auxiliary boiler </w:t>
      </w:r>
      <w:r w:rsidR="004614FC">
        <w:rPr>
          <w:sz w:val="22"/>
          <w:szCs w:val="22"/>
        </w:rPr>
        <w:t>to</w:t>
      </w:r>
      <w:r w:rsidRPr="00C067F0">
        <w:rPr>
          <w:sz w:val="22"/>
          <w:szCs w:val="22"/>
        </w:rPr>
        <w:t xml:space="preserve"> exclusively </w:t>
      </w:r>
      <w:r w:rsidR="004614FC">
        <w:rPr>
          <w:sz w:val="22"/>
          <w:szCs w:val="22"/>
        </w:rPr>
        <w:t>fire</w:t>
      </w:r>
      <w:r w:rsidRPr="00C067F0">
        <w:rPr>
          <w:sz w:val="22"/>
          <w:szCs w:val="22"/>
        </w:rPr>
        <w:t xml:space="preserve"> natural gas </w:t>
      </w:r>
      <w:r w:rsidR="004614FC">
        <w:rPr>
          <w:sz w:val="22"/>
          <w:szCs w:val="22"/>
        </w:rPr>
        <w:t>to</w:t>
      </w:r>
      <w:r w:rsidRPr="00C067F0">
        <w:rPr>
          <w:sz w:val="22"/>
          <w:szCs w:val="22"/>
        </w:rPr>
        <w:t xml:space="preserve"> minimize emissions of PM/PM</w:t>
      </w:r>
      <w:r w:rsidRPr="00262117">
        <w:rPr>
          <w:sz w:val="22"/>
          <w:szCs w:val="22"/>
          <w:vertAlign w:val="subscript"/>
        </w:rPr>
        <w:t>10</w:t>
      </w:r>
      <w:r w:rsidRPr="00C067F0">
        <w:rPr>
          <w:sz w:val="22"/>
          <w:szCs w:val="22"/>
        </w:rPr>
        <w:t>/PM</w:t>
      </w:r>
      <w:r w:rsidRPr="00262117">
        <w:rPr>
          <w:sz w:val="22"/>
          <w:szCs w:val="22"/>
          <w:vertAlign w:val="subscript"/>
        </w:rPr>
        <w:t>2.5</w:t>
      </w:r>
      <w:r w:rsidRPr="00262117">
        <w:rPr>
          <w:sz w:val="22"/>
          <w:szCs w:val="22"/>
        </w:rPr>
        <w:t xml:space="preserve"> </w:t>
      </w:r>
      <w:r w:rsidRPr="00C067F0">
        <w:rPr>
          <w:sz w:val="22"/>
          <w:szCs w:val="22"/>
        </w:rPr>
        <w:t>and SO</w:t>
      </w:r>
      <w:r w:rsidRPr="00991B49">
        <w:rPr>
          <w:sz w:val="22"/>
          <w:szCs w:val="22"/>
          <w:vertAlign w:val="subscript"/>
        </w:rPr>
        <w:t>2</w:t>
      </w:r>
      <w:r>
        <w:rPr>
          <w:sz w:val="22"/>
          <w:szCs w:val="22"/>
        </w:rPr>
        <w:t xml:space="preserve"> </w:t>
      </w:r>
      <w:r w:rsidRPr="00C067F0">
        <w:rPr>
          <w:sz w:val="22"/>
          <w:szCs w:val="22"/>
        </w:rPr>
        <w:t>along with GCP.</w:t>
      </w:r>
      <w:r>
        <w:rPr>
          <w:sz w:val="22"/>
          <w:szCs w:val="22"/>
        </w:rPr>
        <w:t xml:space="preserve">  </w:t>
      </w:r>
      <w:r w:rsidR="00E94E48" w:rsidRPr="00E94E48">
        <w:rPr>
          <w:sz w:val="22"/>
          <w:szCs w:val="22"/>
        </w:rPr>
        <w:t xml:space="preserve">The use of LNBs with a </w:t>
      </w:r>
      <w:r w:rsidR="00604DF6" w:rsidRPr="00226E61">
        <w:rPr>
          <w:sz w:val="22"/>
          <w:szCs w:val="22"/>
        </w:rPr>
        <w:t>NO</w:t>
      </w:r>
      <w:r w:rsidR="00604DF6" w:rsidRPr="00F807D1">
        <w:rPr>
          <w:sz w:val="22"/>
          <w:szCs w:val="22"/>
          <w:vertAlign w:val="subscript"/>
        </w:rPr>
        <w:t>X</w:t>
      </w:r>
      <w:r w:rsidR="00E94E48" w:rsidRPr="00E94E48">
        <w:rPr>
          <w:sz w:val="22"/>
          <w:szCs w:val="22"/>
        </w:rPr>
        <w:t xml:space="preserve"> emission limit of 0.05 lb/MMBtu is proposed as BACT.</w:t>
      </w:r>
      <w:r w:rsidR="00A11186" w:rsidRPr="00A11186">
        <w:rPr>
          <w:sz w:val="22"/>
          <w:szCs w:val="22"/>
        </w:rPr>
        <w:t xml:space="preserve"> </w:t>
      </w:r>
      <w:r w:rsidR="00A11186">
        <w:rPr>
          <w:sz w:val="22"/>
          <w:szCs w:val="22"/>
        </w:rPr>
        <w:t xml:space="preserve"> In addition, t</w:t>
      </w:r>
      <w:r w:rsidR="00A11186" w:rsidRPr="000E6F0E">
        <w:rPr>
          <w:sz w:val="22"/>
          <w:szCs w:val="22"/>
        </w:rPr>
        <w:t xml:space="preserve">he proposed auxiliary boiler will only </w:t>
      </w:r>
      <w:r w:rsidR="00A11186">
        <w:rPr>
          <w:sz w:val="22"/>
          <w:szCs w:val="22"/>
        </w:rPr>
        <w:t xml:space="preserve">fire </w:t>
      </w:r>
      <w:r w:rsidR="00A11186" w:rsidRPr="000E6F0E">
        <w:rPr>
          <w:sz w:val="22"/>
          <w:szCs w:val="22"/>
        </w:rPr>
        <w:t>natural gas, which is the cleanest GHG emitting fuel compared to other fossil fuels due to its low GHG emissions potential when combusted.</w:t>
      </w:r>
      <w:r w:rsidR="00A11186">
        <w:rPr>
          <w:sz w:val="22"/>
          <w:szCs w:val="22"/>
        </w:rPr>
        <w:t xml:space="preserve">  The applicant also proposes a </w:t>
      </w:r>
      <w:r w:rsidR="00A11186" w:rsidRPr="00A11186">
        <w:rPr>
          <w:sz w:val="22"/>
          <w:szCs w:val="22"/>
        </w:rPr>
        <w:t>maximum limit on the hours of operation of the auxiliary boiler of</w:t>
      </w:r>
      <w:r w:rsidR="00A11186" w:rsidRPr="00A11186">
        <w:t xml:space="preserve"> </w:t>
      </w:r>
      <w:r w:rsidR="00A11186" w:rsidRPr="00A11186">
        <w:rPr>
          <w:sz w:val="22"/>
          <w:szCs w:val="22"/>
        </w:rPr>
        <w:t xml:space="preserve">2,000 </w:t>
      </w:r>
      <w:r w:rsidR="00A11186">
        <w:rPr>
          <w:sz w:val="22"/>
          <w:szCs w:val="22"/>
        </w:rPr>
        <w:t>hours per year.</w:t>
      </w:r>
    </w:p>
    <w:p w:rsidR="00E94E48" w:rsidRDefault="008F0AB0" w:rsidP="00C067F0">
      <w:pPr>
        <w:widowControl w:val="0"/>
        <w:spacing w:after="120"/>
        <w:rPr>
          <w:sz w:val="22"/>
          <w:szCs w:val="22"/>
        </w:rPr>
      </w:pPr>
      <w:r>
        <w:rPr>
          <w:sz w:val="22"/>
          <w:szCs w:val="22"/>
        </w:rPr>
        <w:t xml:space="preserve">The RBLC </w:t>
      </w:r>
      <w:r w:rsidR="00214E6E">
        <w:rPr>
          <w:sz w:val="22"/>
          <w:szCs w:val="22"/>
        </w:rPr>
        <w:t>database was reviewed to compare previous BACT determinations for auxiliary boilers.  The results from the RBLC are presented in</w:t>
      </w:r>
      <w:r w:rsidR="004A1D9B">
        <w:rPr>
          <w:sz w:val="22"/>
          <w:szCs w:val="22"/>
        </w:rPr>
        <w:t xml:space="preserve"> </w:t>
      </w:r>
      <w:r w:rsidR="004A1D9B" w:rsidRPr="004A1D9B">
        <w:rPr>
          <w:rFonts w:ascii="Times New Roman Bold" w:hAnsi="Times New Roman Bold"/>
          <w:b/>
          <w:sz w:val="22"/>
          <w:szCs w:val="22"/>
        </w:rPr>
        <w:fldChar w:fldCharType="begin"/>
      </w:r>
      <w:r w:rsidR="004A1D9B" w:rsidRPr="004A1D9B">
        <w:rPr>
          <w:rFonts w:ascii="Times New Roman Bold" w:hAnsi="Times New Roman Bold"/>
          <w:b/>
          <w:sz w:val="22"/>
          <w:szCs w:val="22"/>
        </w:rPr>
        <w:instrText xml:space="preserve"> REF _Ref513622204 \h </w:instrText>
      </w:r>
      <w:r w:rsidR="004A1D9B">
        <w:rPr>
          <w:rFonts w:ascii="Times New Roman Bold" w:hAnsi="Times New Roman Bold"/>
          <w:b/>
          <w:sz w:val="22"/>
          <w:szCs w:val="22"/>
        </w:rPr>
        <w:instrText xml:space="preserve"> \* MERGEFORMAT </w:instrText>
      </w:r>
      <w:r w:rsidR="004A1D9B" w:rsidRPr="004A1D9B">
        <w:rPr>
          <w:rFonts w:ascii="Times New Roman Bold" w:hAnsi="Times New Roman Bold"/>
          <w:b/>
          <w:sz w:val="22"/>
          <w:szCs w:val="22"/>
        </w:rPr>
      </w:r>
      <w:r w:rsidR="004A1D9B" w:rsidRPr="004A1D9B">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14</w:t>
      </w:r>
      <w:r w:rsidR="004A1D9B" w:rsidRPr="004A1D9B">
        <w:rPr>
          <w:rFonts w:ascii="Times New Roman Bold" w:hAnsi="Times New Roman Bold"/>
          <w:b/>
          <w:sz w:val="22"/>
          <w:szCs w:val="22"/>
        </w:rPr>
        <w:fldChar w:fldCharType="end"/>
      </w:r>
      <w:r w:rsidR="00214E6E">
        <w:rPr>
          <w:sz w:val="22"/>
          <w:szCs w:val="22"/>
        </w:rPr>
        <w:t>.</w:t>
      </w:r>
    </w:p>
    <w:p w:rsidR="00221F5A" w:rsidRDefault="004A1D9B" w:rsidP="004A1D9B">
      <w:pPr>
        <w:pStyle w:val="Caption"/>
        <w:spacing w:before="0"/>
        <w:jc w:val="center"/>
      </w:pPr>
      <w:bookmarkStart w:id="58" w:name="_Ref513622204"/>
      <w:r>
        <w:t xml:space="preserve">Table </w:t>
      </w:r>
      <w:fldSimple w:instr=" SEQ Table \* ARABIC ">
        <w:r w:rsidR="007204D0">
          <w:rPr>
            <w:noProof/>
          </w:rPr>
          <w:t>14</w:t>
        </w:r>
      </w:fldSimple>
      <w:bookmarkEnd w:id="58"/>
      <w:r>
        <w:t xml:space="preserve"> - </w:t>
      </w:r>
      <w:r w:rsidR="008E1BAB" w:rsidRPr="008E1BAB">
        <w:t>RBLC BACT Determinations for Natural-Gas Fired Auxiliary Boilers</w:t>
      </w:r>
      <w:r w:rsidR="008E1BAB">
        <w:t>.</w:t>
      </w:r>
    </w:p>
    <w:tbl>
      <w:tblPr>
        <w:tblStyle w:val="TableGrid"/>
        <w:tblW w:w="0" w:type="auto"/>
        <w:jc w:val="center"/>
        <w:tblLook w:val="04A0" w:firstRow="1" w:lastRow="0" w:firstColumn="1" w:lastColumn="0" w:noHBand="0" w:noVBand="1"/>
      </w:tblPr>
      <w:tblGrid>
        <w:gridCol w:w="1114"/>
        <w:gridCol w:w="1128"/>
        <w:gridCol w:w="1801"/>
        <w:gridCol w:w="1487"/>
        <w:gridCol w:w="1707"/>
        <w:gridCol w:w="2669"/>
      </w:tblGrid>
      <w:tr w:rsidR="00762FA0" w:rsidRPr="00E8321C" w:rsidTr="0023692D">
        <w:trPr>
          <w:trHeight w:val="195"/>
          <w:tblHeader/>
          <w:jc w:val="center"/>
        </w:trPr>
        <w:tc>
          <w:tcPr>
            <w:tcW w:w="1141" w:type="dxa"/>
            <w:tcBorders>
              <w:top w:val="single" w:sz="12" w:space="0" w:color="auto"/>
              <w:left w:val="single" w:sz="12" w:space="0" w:color="auto"/>
              <w:bottom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Pr>
                <w:b/>
                <w:sz w:val="20"/>
              </w:rPr>
              <w:t>RBLC ID</w:t>
            </w:r>
          </w:p>
        </w:tc>
        <w:tc>
          <w:tcPr>
            <w:tcW w:w="1128" w:type="dxa"/>
            <w:tcBorders>
              <w:top w:val="single" w:sz="12" w:space="0" w:color="auto"/>
              <w:bottom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sidRPr="00E8321C">
              <w:rPr>
                <w:b/>
                <w:sz w:val="20"/>
              </w:rPr>
              <w:t>Date</w:t>
            </w:r>
          </w:p>
        </w:tc>
        <w:tc>
          <w:tcPr>
            <w:tcW w:w="1842" w:type="dxa"/>
            <w:tcBorders>
              <w:top w:val="single" w:sz="12" w:space="0" w:color="auto"/>
              <w:bottom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Pr>
                <w:b/>
                <w:sz w:val="20"/>
              </w:rPr>
              <w:t>Heat Input</w:t>
            </w:r>
          </w:p>
        </w:tc>
        <w:tc>
          <w:tcPr>
            <w:tcW w:w="1487" w:type="dxa"/>
            <w:tcBorders>
              <w:top w:val="single" w:sz="12" w:space="0" w:color="auto"/>
              <w:bottom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Pr>
                <w:b/>
                <w:sz w:val="20"/>
              </w:rPr>
              <w:t>Pollutant(s)</w:t>
            </w:r>
          </w:p>
        </w:tc>
        <w:tc>
          <w:tcPr>
            <w:tcW w:w="1757" w:type="dxa"/>
            <w:tcBorders>
              <w:top w:val="single" w:sz="12" w:space="0" w:color="auto"/>
              <w:bottom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sidRPr="00E8321C">
              <w:rPr>
                <w:b/>
                <w:sz w:val="20"/>
              </w:rPr>
              <w:t>Pollutant Limit</w:t>
            </w:r>
          </w:p>
        </w:tc>
        <w:tc>
          <w:tcPr>
            <w:tcW w:w="2782" w:type="dxa"/>
            <w:tcBorders>
              <w:top w:val="single" w:sz="12" w:space="0" w:color="auto"/>
              <w:bottom w:val="single" w:sz="12" w:space="0" w:color="auto"/>
              <w:right w:val="single" w:sz="12" w:space="0" w:color="auto"/>
            </w:tcBorders>
            <w:shd w:val="clear" w:color="auto" w:fill="B8CCE4" w:themeFill="accent1" w:themeFillTint="66"/>
            <w:vAlign w:val="center"/>
          </w:tcPr>
          <w:p w:rsidR="00762FA0" w:rsidRPr="00E8321C" w:rsidRDefault="00762FA0" w:rsidP="00262064">
            <w:pPr>
              <w:pStyle w:val="BodyText2"/>
              <w:widowControl w:val="0"/>
              <w:numPr>
                <w:ilvl w:val="0"/>
                <w:numId w:val="0"/>
              </w:numPr>
              <w:spacing w:after="0"/>
              <w:jc w:val="center"/>
              <w:rPr>
                <w:b/>
                <w:sz w:val="20"/>
              </w:rPr>
            </w:pPr>
            <w:r w:rsidRPr="00E8321C">
              <w:rPr>
                <w:b/>
                <w:sz w:val="20"/>
              </w:rPr>
              <w:t>Control Method</w:t>
            </w:r>
          </w:p>
        </w:tc>
      </w:tr>
      <w:tr w:rsidR="00762FA0" w:rsidRPr="001B6505" w:rsidTr="0023692D">
        <w:trPr>
          <w:jc w:val="center"/>
        </w:trPr>
        <w:tc>
          <w:tcPr>
            <w:tcW w:w="1141" w:type="dxa"/>
            <w:vMerge w:val="restart"/>
            <w:tcBorders>
              <w:left w:val="single" w:sz="12" w:space="0" w:color="auto"/>
            </w:tcBorders>
            <w:vAlign w:val="center"/>
          </w:tcPr>
          <w:p w:rsidR="00762FA0" w:rsidRPr="00E8321C" w:rsidRDefault="00762FA0" w:rsidP="00262064">
            <w:pPr>
              <w:pStyle w:val="BodyText2"/>
              <w:widowControl w:val="0"/>
              <w:numPr>
                <w:ilvl w:val="0"/>
                <w:numId w:val="0"/>
              </w:numPr>
              <w:spacing w:after="0"/>
              <w:jc w:val="center"/>
              <w:rPr>
                <w:sz w:val="20"/>
              </w:rPr>
            </w:pPr>
            <w:r>
              <w:rPr>
                <w:sz w:val="20"/>
              </w:rPr>
              <w:t>FL-0356</w:t>
            </w:r>
          </w:p>
        </w:tc>
        <w:tc>
          <w:tcPr>
            <w:tcW w:w="1128" w:type="dxa"/>
            <w:vMerge w:val="restart"/>
            <w:vAlign w:val="center"/>
          </w:tcPr>
          <w:p w:rsidR="00762FA0" w:rsidRPr="00E8321C" w:rsidRDefault="00762FA0" w:rsidP="00262064">
            <w:pPr>
              <w:pStyle w:val="BodyText2"/>
              <w:widowControl w:val="0"/>
              <w:numPr>
                <w:ilvl w:val="0"/>
                <w:numId w:val="0"/>
              </w:numPr>
              <w:spacing w:after="0"/>
              <w:jc w:val="center"/>
              <w:rPr>
                <w:sz w:val="20"/>
              </w:rPr>
            </w:pPr>
            <w:r>
              <w:rPr>
                <w:sz w:val="20"/>
              </w:rPr>
              <w:t>03/09/2016</w:t>
            </w:r>
          </w:p>
        </w:tc>
        <w:tc>
          <w:tcPr>
            <w:tcW w:w="1842" w:type="dxa"/>
            <w:vMerge w:val="restart"/>
            <w:vAlign w:val="center"/>
          </w:tcPr>
          <w:p w:rsidR="00762FA0" w:rsidRPr="00E8321C" w:rsidRDefault="00762FA0" w:rsidP="00262064">
            <w:pPr>
              <w:pStyle w:val="BodyText2"/>
              <w:widowControl w:val="0"/>
              <w:numPr>
                <w:ilvl w:val="0"/>
                <w:numId w:val="0"/>
              </w:numPr>
              <w:spacing w:after="0"/>
              <w:jc w:val="center"/>
              <w:rPr>
                <w:sz w:val="20"/>
              </w:rPr>
            </w:pPr>
            <w:r>
              <w:rPr>
                <w:sz w:val="20"/>
              </w:rPr>
              <w:t>99.8 MMBtu/h</w:t>
            </w:r>
            <w:r w:rsidR="00261298">
              <w:rPr>
                <w:sz w:val="20"/>
              </w:rPr>
              <w:t xml:space="preserve">our </w:t>
            </w:r>
            <w:r w:rsidR="00261298" w:rsidRPr="00261298">
              <w:rPr>
                <w:b/>
                <w:sz w:val="24"/>
                <w:szCs w:val="24"/>
                <w:vertAlign w:val="superscript"/>
              </w:rPr>
              <w:fldChar w:fldCharType="begin"/>
            </w:r>
            <w:r w:rsidR="00261298" w:rsidRPr="00261298">
              <w:rPr>
                <w:sz w:val="20"/>
                <w:vertAlign w:val="superscript"/>
              </w:rPr>
              <w:instrText xml:space="preserve"> REF _Ref511136972 \r \h </w:instrText>
            </w:r>
            <w:r w:rsidR="00261298" w:rsidRPr="00261298">
              <w:rPr>
                <w:b/>
                <w:sz w:val="24"/>
                <w:szCs w:val="24"/>
                <w:vertAlign w:val="superscript"/>
              </w:rPr>
              <w:instrText xml:space="preserve"> \* MERGEFORMAT </w:instrText>
            </w:r>
            <w:r w:rsidR="00261298" w:rsidRPr="00261298">
              <w:rPr>
                <w:b/>
                <w:sz w:val="24"/>
                <w:szCs w:val="24"/>
                <w:vertAlign w:val="superscript"/>
              </w:rPr>
            </w:r>
            <w:r w:rsidR="00261298" w:rsidRPr="00261298">
              <w:rPr>
                <w:b/>
                <w:sz w:val="24"/>
                <w:szCs w:val="24"/>
                <w:vertAlign w:val="superscript"/>
              </w:rPr>
              <w:fldChar w:fldCharType="separate"/>
            </w:r>
            <w:r w:rsidR="003E3FA4">
              <w:rPr>
                <w:sz w:val="20"/>
                <w:vertAlign w:val="superscript"/>
              </w:rPr>
              <w:t>a</w:t>
            </w:r>
            <w:r w:rsidR="00261298" w:rsidRPr="00261298">
              <w:rPr>
                <w:b/>
                <w:sz w:val="24"/>
                <w:szCs w:val="24"/>
                <w:vertAlign w:val="superscript"/>
              </w:rPr>
              <w:fldChar w:fldCharType="end"/>
            </w:r>
          </w:p>
        </w:tc>
        <w:tc>
          <w:tcPr>
            <w:tcW w:w="1487" w:type="dxa"/>
            <w:vAlign w:val="center"/>
          </w:tcPr>
          <w:p w:rsidR="00762FA0" w:rsidRPr="00CB5E4B" w:rsidRDefault="00762FA0" w:rsidP="00262064">
            <w:pPr>
              <w:pStyle w:val="BodyText2"/>
              <w:widowControl w:val="0"/>
              <w:numPr>
                <w:ilvl w:val="0"/>
                <w:numId w:val="0"/>
              </w:numPr>
              <w:spacing w:after="0"/>
              <w:jc w:val="center"/>
              <w:rPr>
                <w:sz w:val="20"/>
              </w:rPr>
            </w:pPr>
            <w:r>
              <w:rPr>
                <w:sz w:val="20"/>
              </w:rPr>
              <w:t>NO</w:t>
            </w:r>
            <w:r>
              <w:rPr>
                <w:sz w:val="20"/>
                <w:vertAlign w:val="subscript"/>
              </w:rPr>
              <w:t>X</w:t>
            </w:r>
          </w:p>
        </w:tc>
        <w:tc>
          <w:tcPr>
            <w:tcW w:w="1757" w:type="dxa"/>
            <w:vAlign w:val="center"/>
          </w:tcPr>
          <w:p w:rsidR="00762FA0" w:rsidRPr="00E8321C" w:rsidRDefault="00762FA0" w:rsidP="00262064">
            <w:pPr>
              <w:pStyle w:val="BodyText2"/>
              <w:widowControl w:val="0"/>
              <w:numPr>
                <w:ilvl w:val="0"/>
                <w:numId w:val="0"/>
              </w:numPr>
              <w:spacing w:after="0"/>
              <w:jc w:val="center"/>
              <w:rPr>
                <w:sz w:val="20"/>
              </w:rPr>
            </w:pPr>
            <w:r>
              <w:rPr>
                <w:sz w:val="20"/>
              </w:rPr>
              <w:t>0.05 lb/MMBtu</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DLN</w:t>
            </w:r>
          </w:p>
        </w:tc>
      </w:tr>
      <w:tr w:rsidR="00762FA0" w:rsidRPr="001B6505" w:rsidTr="0023692D">
        <w:trPr>
          <w:jc w:val="center"/>
        </w:trPr>
        <w:tc>
          <w:tcPr>
            <w:tcW w:w="1141" w:type="dxa"/>
            <w:vMerge/>
            <w:tcBorders>
              <w:left w:val="single" w:sz="12" w:space="0" w:color="auto"/>
            </w:tcBorders>
            <w:vAlign w:val="center"/>
          </w:tcPr>
          <w:p w:rsidR="00762FA0" w:rsidRPr="00E8321C" w:rsidRDefault="00762FA0" w:rsidP="00262064">
            <w:pPr>
              <w:pStyle w:val="BodyText2"/>
              <w:widowControl w:val="0"/>
              <w:numPr>
                <w:ilvl w:val="0"/>
                <w:numId w:val="0"/>
              </w:numPr>
              <w:spacing w:after="0"/>
              <w:jc w:val="center"/>
              <w:rPr>
                <w:sz w:val="20"/>
              </w:rPr>
            </w:pPr>
          </w:p>
        </w:tc>
        <w:tc>
          <w:tcPr>
            <w:tcW w:w="1128"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Align w:val="center"/>
          </w:tcPr>
          <w:p w:rsidR="00762FA0" w:rsidRPr="00E8321C" w:rsidRDefault="00762FA0" w:rsidP="00262064">
            <w:pPr>
              <w:pStyle w:val="BodyText2"/>
              <w:widowControl w:val="0"/>
              <w:numPr>
                <w:ilvl w:val="0"/>
                <w:numId w:val="0"/>
              </w:numPr>
              <w:spacing w:after="0"/>
              <w:jc w:val="center"/>
              <w:rPr>
                <w:sz w:val="20"/>
              </w:rPr>
            </w:pPr>
            <w:r>
              <w:rPr>
                <w:sz w:val="20"/>
              </w:rPr>
              <w:t>CO</w:t>
            </w:r>
          </w:p>
        </w:tc>
        <w:tc>
          <w:tcPr>
            <w:tcW w:w="1757" w:type="dxa"/>
            <w:vAlign w:val="center"/>
          </w:tcPr>
          <w:p w:rsidR="00762FA0" w:rsidRPr="00E8321C" w:rsidRDefault="00762FA0" w:rsidP="00262064">
            <w:pPr>
              <w:pStyle w:val="BodyText2"/>
              <w:widowControl w:val="0"/>
              <w:numPr>
                <w:ilvl w:val="0"/>
                <w:numId w:val="0"/>
              </w:numPr>
              <w:spacing w:after="0"/>
              <w:jc w:val="center"/>
              <w:rPr>
                <w:sz w:val="20"/>
              </w:rPr>
            </w:pPr>
            <w:r>
              <w:rPr>
                <w:sz w:val="20"/>
              </w:rPr>
              <w:t>0.08 lb/MMBtu</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GCP</w:t>
            </w:r>
          </w:p>
        </w:tc>
      </w:tr>
      <w:tr w:rsidR="00762FA0" w:rsidRPr="001B6505" w:rsidTr="0023692D">
        <w:trPr>
          <w:trHeight w:val="94"/>
          <w:jc w:val="center"/>
        </w:trPr>
        <w:tc>
          <w:tcPr>
            <w:tcW w:w="1141" w:type="dxa"/>
            <w:vMerge/>
            <w:tcBorders>
              <w:left w:val="single" w:sz="12" w:space="0" w:color="auto"/>
            </w:tcBorders>
            <w:vAlign w:val="center"/>
          </w:tcPr>
          <w:p w:rsidR="00762FA0" w:rsidRPr="00E8321C" w:rsidRDefault="00762FA0" w:rsidP="00262064">
            <w:pPr>
              <w:pStyle w:val="BodyText2"/>
              <w:widowControl w:val="0"/>
              <w:numPr>
                <w:ilvl w:val="0"/>
                <w:numId w:val="0"/>
              </w:numPr>
              <w:spacing w:after="0"/>
              <w:jc w:val="center"/>
              <w:rPr>
                <w:sz w:val="20"/>
              </w:rPr>
            </w:pPr>
          </w:p>
        </w:tc>
        <w:tc>
          <w:tcPr>
            <w:tcW w:w="1128"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Pr="00050D0B" w:rsidRDefault="00762FA0" w:rsidP="00262064">
            <w:pPr>
              <w:pStyle w:val="BodyText2"/>
              <w:widowControl w:val="0"/>
              <w:numPr>
                <w:ilvl w:val="0"/>
                <w:numId w:val="0"/>
              </w:numPr>
              <w:spacing w:after="0"/>
              <w:jc w:val="center"/>
              <w:rPr>
                <w:sz w:val="20"/>
                <w:vertAlign w:val="subscript"/>
              </w:rPr>
            </w:pPr>
            <w:r>
              <w:rPr>
                <w:sz w:val="20"/>
              </w:rPr>
              <w:t>SO</w:t>
            </w:r>
            <w:r>
              <w:rPr>
                <w:sz w:val="20"/>
                <w:vertAlign w:val="subscript"/>
              </w:rPr>
              <w:t>2</w:t>
            </w:r>
            <w:r>
              <w:rPr>
                <w:sz w:val="20"/>
              </w:rPr>
              <w:t>, SAM, PM/PM</w:t>
            </w:r>
            <w:r>
              <w:rPr>
                <w:sz w:val="20"/>
                <w:vertAlign w:val="subscript"/>
              </w:rPr>
              <w:t>10</w:t>
            </w:r>
            <w:r>
              <w:rPr>
                <w:sz w:val="20"/>
              </w:rPr>
              <w:t>/PM</w:t>
            </w:r>
            <w:r>
              <w:rPr>
                <w:sz w:val="20"/>
                <w:vertAlign w:val="subscript"/>
              </w:rPr>
              <w:t>2.5</w:t>
            </w:r>
          </w:p>
        </w:tc>
        <w:tc>
          <w:tcPr>
            <w:tcW w:w="1757" w:type="dxa"/>
            <w:vAlign w:val="center"/>
          </w:tcPr>
          <w:p w:rsidR="00762FA0" w:rsidRPr="00E8321C" w:rsidRDefault="00762FA0" w:rsidP="00262064">
            <w:pPr>
              <w:pStyle w:val="BodyText2"/>
              <w:widowControl w:val="0"/>
              <w:numPr>
                <w:ilvl w:val="0"/>
                <w:numId w:val="0"/>
              </w:numPr>
              <w:spacing w:after="0"/>
              <w:jc w:val="center"/>
              <w:rPr>
                <w:sz w:val="20"/>
              </w:rPr>
            </w:pPr>
            <w:r>
              <w:rPr>
                <w:sz w:val="20"/>
              </w:rPr>
              <w:t>2</w:t>
            </w:r>
            <w:r w:rsidR="000223F6">
              <w:rPr>
                <w:sz w:val="20"/>
              </w:rPr>
              <w:t>.0</w:t>
            </w:r>
            <w:r>
              <w:rPr>
                <w:sz w:val="20"/>
              </w:rPr>
              <w:t xml:space="preserve"> gr S/100 scf</w:t>
            </w:r>
          </w:p>
        </w:tc>
        <w:tc>
          <w:tcPr>
            <w:tcW w:w="2782" w:type="dxa"/>
            <w:vMerge w:val="restart"/>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GCP and low sulfur fuel</w:t>
            </w:r>
          </w:p>
        </w:tc>
      </w:tr>
      <w:tr w:rsidR="00762FA0" w:rsidRPr="001B6505" w:rsidTr="0023692D">
        <w:trPr>
          <w:trHeight w:val="152"/>
          <w:jc w:val="center"/>
        </w:trPr>
        <w:tc>
          <w:tcPr>
            <w:tcW w:w="1141" w:type="dxa"/>
            <w:vMerge/>
            <w:tcBorders>
              <w:left w:val="single" w:sz="12" w:space="0" w:color="auto"/>
            </w:tcBorders>
            <w:vAlign w:val="center"/>
          </w:tcPr>
          <w:p w:rsidR="00762FA0" w:rsidRPr="00E8321C" w:rsidRDefault="00762FA0" w:rsidP="00262064">
            <w:pPr>
              <w:pStyle w:val="BodyText2"/>
              <w:widowControl w:val="0"/>
              <w:numPr>
                <w:ilvl w:val="0"/>
                <w:numId w:val="0"/>
              </w:numPr>
              <w:spacing w:after="0"/>
              <w:jc w:val="center"/>
              <w:rPr>
                <w:sz w:val="20"/>
              </w:rPr>
            </w:pPr>
          </w:p>
        </w:tc>
        <w:tc>
          <w:tcPr>
            <w:tcW w:w="1128"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Pr="00767DFC" w:rsidRDefault="00833FF5" w:rsidP="00262064">
            <w:pPr>
              <w:pStyle w:val="BodyText2"/>
              <w:widowControl w:val="0"/>
              <w:numPr>
                <w:ilvl w:val="0"/>
                <w:numId w:val="0"/>
              </w:numPr>
              <w:spacing w:after="0"/>
              <w:jc w:val="center"/>
              <w:rPr>
                <w:sz w:val="20"/>
              </w:rPr>
            </w:pPr>
            <w:r>
              <w:rPr>
                <w:sz w:val="20"/>
              </w:rPr>
              <w:t>1</w:t>
            </w:r>
            <w:r w:rsidR="00762FA0">
              <w:rPr>
                <w:sz w:val="20"/>
              </w:rPr>
              <w:t>0% opacity</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jc w:val="center"/>
        </w:trPr>
        <w:tc>
          <w:tcPr>
            <w:tcW w:w="1141" w:type="dxa"/>
            <w:vMerge w:val="restart"/>
            <w:tcBorders>
              <w:left w:val="single" w:sz="12" w:space="0" w:color="auto"/>
            </w:tcBorders>
            <w:vAlign w:val="center"/>
          </w:tcPr>
          <w:p w:rsidR="00762FA0" w:rsidRPr="003B5700" w:rsidRDefault="00762FA0" w:rsidP="00262064">
            <w:pPr>
              <w:pStyle w:val="BodyText2"/>
              <w:widowControl w:val="0"/>
              <w:numPr>
                <w:ilvl w:val="0"/>
                <w:numId w:val="0"/>
              </w:numPr>
              <w:spacing w:after="0"/>
              <w:jc w:val="center"/>
              <w:rPr>
                <w:b/>
                <w:sz w:val="20"/>
                <w:vertAlign w:val="superscript"/>
              </w:rPr>
            </w:pPr>
            <w:r>
              <w:rPr>
                <w:sz w:val="20"/>
              </w:rPr>
              <w:t>FL-0363</w:t>
            </w:r>
            <w:r w:rsidR="00DC0856" w:rsidRPr="002F015B">
              <w:rPr>
                <w:sz w:val="20"/>
                <w:vertAlign w:val="superscript"/>
              </w:rPr>
              <w:t xml:space="preserve"> </w:t>
            </w:r>
            <w:r w:rsidR="00DC0856" w:rsidRPr="002F015B">
              <w:rPr>
                <w:b/>
                <w:sz w:val="26"/>
                <w:szCs w:val="26"/>
                <w:vertAlign w:val="superscript"/>
              </w:rPr>
              <w:fldChar w:fldCharType="begin"/>
            </w:r>
            <w:r w:rsidR="00DC0856" w:rsidRPr="002F015B">
              <w:rPr>
                <w:sz w:val="20"/>
                <w:vertAlign w:val="superscript"/>
              </w:rPr>
              <w:instrText xml:space="preserve"> REF _Ref511137369 \r \h </w:instrText>
            </w:r>
            <w:r w:rsidR="002F015B" w:rsidRPr="002F015B">
              <w:rPr>
                <w:b/>
                <w:sz w:val="26"/>
                <w:szCs w:val="26"/>
                <w:vertAlign w:val="superscript"/>
              </w:rPr>
              <w:instrText xml:space="preserve"> \* MERGEFORMAT </w:instrText>
            </w:r>
            <w:r w:rsidR="00DC0856" w:rsidRPr="002F015B">
              <w:rPr>
                <w:b/>
                <w:sz w:val="26"/>
                <w:szCs w:val="26"/>
                <w:vertAlign w:val="superscript"/>
              </w:rPr>
            </w:r>
            <w:r w:rsidR="00DC0856" w:rsidRPr="002F015B">
              <w:rPr>
                <w:b/>
                <w:sz w:val="26"/>
                <w:szCs w:val="26"/>
                <w:vertAlign w:val="superscript"/>
              </w:rPr>
              <w:fldChar w:fldCharType="separate"/>
            </w:r>
            <w:r w:rsidR="003E3FA4">
              <w:rPr>
                <w:sz w:val="20"/>
                <w:vertAlign w:val="superscript"/>
              </w:rPr>
              <w:t>e</w:t>
            </w:r>
            <w:r w:rsidR="00DC0856" w:rsidRPr="002F015B">
              <w:rPr>
                <w:b/>
                <w:sz w:val="26"/>
                <w:szCs w:val="26"/>
                <w:vertAlign w:val="superscript"/>
              </w:rPr>
              <w:fldChar w:fldCharType="end"/>
            </w:r>
          </w:p>
        </w:tc>
        <w:tc>
          <w:tcPr>
            <w:tcW w:w="1128" w:type="dxa"/>
            <w:vMerge w:val="restart"/>
            <w:vAlign w:val="center"/>
          </w:tcPr>
          <w:p w:rsidR="00762FA0" w:rsidRPr="00E8321C" w:rsidRDefault="00762FA0" w:rsidP="00262064">
            <w:pPr>
              <w:pStyle w:val="BodyText2"/>
              <w:widowControl w:val="0"/>
              <w:numPr>
                <w:ilvl w:val="0"/>
                <w:numId w:val="0"/>
              </w:numPr>
              <w:spacing w:after="0"/>
              <w:jc w:val="center"/>
              <w:rPr>
                <w:sz w:val="20"/>
              </w:rPr>
            </w:pPr>
            <w:r>
              <w:rPr>
                <w:sz w:val="20"/>
              </w:rPr>
              <w:t>12/04/2017</w:t>
            </w: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Align w:val="center"/>
          </w:tcPr>
          <w:p w:rsidR="00762FA0" w:rsidRPr="003B5700" w:rsidRDefault="00762FA0" w:rsidP="00262064">
            <w:pPr>
              <w:pStyle w:val="BodyText2"/>
              <w:widowControl w:val="0"/>
              <w:numPr>
                <w:ilvl w:val="0"/>
                <w:numId w:val="0"/>
              </w:numPr>
              <w:spacing w:after="0"/>
              <w:jc w:val="center"/>
              <w:rPr>
                <w:b/>
                <w:sz w:val="20"/>
              </w:rPr>
            </w:pPr>
            <w:r>
              <w:rPr>
                <w:sz w:val="20"/>
              </w:rPr>
              <w:t>NO</w:t>
            </w:r>
            <w:r>
              <w:rPr>
                <w:sz w:val="20"/>
                <w:vertAlign w:val="subscript"/>
              </w:rPr>
              <w:t>X</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0.05 lb/MMBtu</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DLN</w:t>
            </w:r>
          </w:p>
        </w:tc>
      </w:tr>
      <w:tr w:rsidR="00762FA0" w:rsidRPr="001B6505" w:rsidTr="0023692D">
        <w:trPr>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Align w:val="center"/>
          </w:tcPr>
          <w:p w:rsidR="00762FA0" w:rsidRPr="00E8321C" w:rsidRDefault="00762FA0" w:rsidP="00262064">
            <w:pPr>
              <w:pStyle w:val="BodyText2"/>
              <w:widowControl w:val="0"/>
              <w:numPr>
                <w:ilvl w:val="0"/>
                <w:numId w:val="0"/>
              </w:numPr>
              <w:spacing w:after="0"/>
              <w:jc w:val="center"/>
              <w:rPr>
                <w:sz w:val="20"/>
              </w:rPr>
            </w:pPr>
            <w:r>
              <w:rPr>
                <w:sz w:val="20"/>
              </w:rPr>
              <w:t>CO</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0.08 lb/MMBtu</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GCP</w:t>
            </w:r>
          </w:p>
        </w:tc>
      </w:tr>
      <w:tr w:rsidR="00762FA0" w:rsidRPr="001B6505" w:rsidTr="0023692D">
        <w:trPr>
          <w:trHeight w:val="70"/>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Pr="00050D0B" w:rsidRDefault="00762FA0" w:rsidP="00262064">
            <w:pPr>
              <w:pStyle w:val="BodyText2"/>
              <w:widowControl w:val="0"/>
              <w:numPr>
                <w:ilvl w:val="0"/>
                <w:numId w:val="0"/>
              </w:numPr>
              <w:spacing w:after="0"/>
              <w:jc w:val="center"/>
              <w:rPr>
                <w:sz w:val="20"/>
                <w:vertAlign w:val="subscript"/>
              </w:rPr>
            </w:pPr>
            <w:r>
              <w:rPr>
                <w:sz w:val="20"/>
              </w:rPr>
              <w:t>SO</w:t>
            </w:r>
            <w:r>
              <w:rPr>
                <w:sz w:val="20"/>
                <w:vertAlign w:val="subscript"/>
              </w:rPr>
              <w:t>2</w:t>
            </w:r>
            <w:r>
              <w:rPr>
                <w:sz w:val="20"/>
              </w:rPr>
              <w:t>, SAM, PM/PM</w:t>
            </w:r>
            <w:r>
              <w:rPr>
                <w:sz w:val="20"/>
                <w:vertAlign w:val="subscript"/>
              </w:rPr>
              <w:t>10</w:t>
            </w:r>
            <w:r>
              <w:rPr>
                <w:sz w:val="20"/>
              </w:rPr>
              <w:t>/PM</w:t>
            </w:r>
            <w:r>
              <w:rPr>
                <w:sz w:val="20"/>
                <w:vertAlign w:val="subscript"/>
              </w:rPr>
              <w:t>2.5</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2</w:t>
            </w:r>
            <w:r w:rsidR="000223F6">
              <w:rPr>
                <w:sz w:val="20"/>
              </w:rPr>
              <w:t>.0</w:t>
            </w:r>
            <w:r>
              <w:rPr>
                <w:sz w:val="20"/>
              </w:rPr>
              <w:t xml:space="preserve"> gr S/100 scf</w:t>
            </w:r>
          </w:p>
        </w:tc>
        <w:tc>
          <w:tcPr>
            <w:tcW w:w="2782" w:type="dxa"/>
            <w:vMerge w:val="restart"/>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GCP and low sulfur fuel</w:t>
            </w:r>
          </w:p>
        </w:tc>
      </w:tr>
      <w:tr w:rsidR="00762FA0" w:rsidRPr="001B6505" w:rsidTr="0023692D">
        <w:trPr>
          <w:trHeight w:val="194"/>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Default="00CB46E1" w:rsidP="00262064">
            <w:pPr>
              <w:pStyle w:val="BodyText2"/>
              <w:widowControl w:val="0"/>
              <w:numPr>
                <w:ilvl w:val="0"/>
                <w:numId w:val="0"/>
              </w:numPr>
              <w:spacing w:after="0"/>
              <w:jc w:val="center"/>
              <w:rPr>
                <w:sz w:val="20"/>
              </w:rPr>
            </w:pPr>
            <w:r>
              <w:rPr>
                <w:sz w:val="20"/>
              </w:rPr>
              <w:t>1</w:t>
            </w:r>
            <w:r w:rsidR="00762FA0">
              <w:rPr>
                <w:sz w:val="20"/>
              </w:rPr>
              <w:t>0% opacity</w:t>
            </w:r>
          </w:p>
        </w:tc>
        <w:tc>
          <w:tcPr>
            <w:tcW w:w="2782" w:type="dxa"/>
            <w:vMerge/>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p>
        </w:tc>
      </w:tr>
      <w:tr w:rsidR="00762FA0" w:rsidRPr="001B6505" w:rsidTr="0023692D">
        <w:trPr>
          <w:trHeight w:val="260"/>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Pr="00E8321C" w:rsidRDefault="00762FA0" w:rsidP="00262064">
            <w:pPr>
              <w:pStyle w:val="BodyText2"/>
              <w:widowControl w:val="0"/>
              <w:numPr>
                <w:ilvl w:val="0"/>
                <w:numId w:val="0"/>
              </w:numPr>
              <w:spacing w:after="0"/>
              <w:jc w:val="center"/>
              <w:rPr>
                <w:sz w:val="20"/>
              </w:rPr>
            </w:pPr>
          </w:p>
        </w:tc>
        <w:tc>
          <w:tcPr>
            <w:tcW w:w="1487" w:type="dxa"/>
            <w:vAlign w:val="center"/>
          </w:tcPr>
          <w:p w:rsidR="00762FA0" w:rsidRDefault="00762FA0" w:rsidP="00262064">
            <w:pPr>
              <w:pStyle w:val="BodyText2"/>
              <w:widowControl w:val="0"/>
              <w:numPr>
                <w:ilvl w:val="0"/>
                <w:numId w:val="0"/>
              </w:numPr>
              <w:spacing w:after="0"/>
              <w:jc w:val="center"/>
              <w:rPr>
                <w:sz w:val="20"/>
              </w:rPr>
            </w:pPr>
            <w:r>
              <w:rPr>
                <w:sz w:val="20"/>
              </w:rPr>
              <w:t>GHG</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Clean fuels and operation limitation</w:t>
            </w:r>
          </w:p>
        </w:tc>
      </w:tr>
      <w:tr w:rsidR="00762FA0" w:rsidRPr="001B6505" w:rsidTr="0023692D">
        <w:trPr>
          <w:jc w:val="center"/>
        </w:trPr>
        <w:tc>
          <w:tcPr>
            <w:tcW w:w="1141" w:type="dxa"/>
            <w:vMerge w:val="restart"/>
            <w:tcBorders>
              <w:left w:val="single" w:sz="12" w:space="0" w:color="auto"/>
            </w:tcBorders>
            <w:vAlign w:val="center"/>
          </w:tcPr>
          <w:p w:rsidR="00762FA0" w:rsidRPr="00E8321C" w:rsidRDefault="00762FA0" w:rsidP="00262064">
            <w:pPr>
              <w:pStyle w:val="BodyText2"/>
              <w:widowControl w:val="0"/>
              <w:numPr>
                <w:ilvl w:val="0"/>
                <w:numId w:val="0"/>
              </w:numPr>
              <w:spacing w:after="0"/>
              <w:jc w:val="center"/>
              <w:rPr>
                <w:sz w:val="20"/>
              </w:rPr>
            </w:pPr>
            <w:r>
              <w:rPr>
                <w:sz w:val="20"/>
              </w:rPr>
              <w:t>MI-0412</w:t>
            </w:r>
          </w:p>
        </w:tc>
        <w:tc>
          <w:tcPr>
            <w:tcW w:w="1128" w:type="dxa"/>
            <w:vMerge w:val="restart"/>
            <w:vAlign w:val="center"/>
          </w:tcPr>
          <w:p w:rsidR="00762FA0" w:rsidRPr="00E8321C" w:rsidRDefault="00762FA0" w:rsidP="00262064">
            <w:pPr>
              <w:pStyle w:val="BodyText2"/>
              <w:widowControl w:val="0"/>
              <w:numPr>
                <w:ilvl w:val="0"/>
                <w:numId w:val="0"/>
              </w:numPr>
              <w:spacing w:after="0"/>
              <w:jc w:val="center"/>
              <w:rPr>
                <w:sz w:val="20"/>
              </w:rPr>
            </w:pPr>
            <w:r>
              <w:rPr>
                <w:sz w:val="20"/>
              </w:rPr>
              <w:t>12/04/2013</w:t>
            </w:r>
          </w:p>
        </w:tc>
        <w:tc>
          <w:tcPr>
            <w:tcW w:w="1842" w:type="dxa"/>
            <w:vMerge w:val="restart"/>
            <w:vAlign w:val="center"/>
          </w:tcPr>
          <w:p w:rsidR="00762FA0" w:rsidRPr="00E8321C" w:rsidRDefault="00762FA0" w:rsidP="00262064">
            <w:pPr>
              <w:pStyle w:val="BodyText2"/>
              <w:widowControl w:val="0"/>
              <w:numPr>
                <w:ilvl w:val="0"/>
                <w:numId w:val="0"/>
              </w:numPr>
              <w:spacing w:after="0"/>
              <w:jc w:val="center"/>
              <w:rPr>
                <w:sz w:val="20"/>
              </w:rPr>
            </w:pPr>
            <w:r>
              <w:rPr>
                <w:sz w:val="20"/>
              </w:rPr>
              <w:t>55 MMBtu/h</w:t>
            </w:r>
            <w:r w:rsidR="00261298">
              <w:rPr>
                <w:sz w:val="20"/>
              </w:rPr>
              <w:t>ou</w:t>
            </w:r>
            <w:r>
              <w:rPr>
                <w:sz w:val="20"/>
              </w:rPr>
              <w:t>r</w:t>
            </w:r>
          </w:p>
        </w:tc>
        <w:tc>
          <w:tcPr>
            <w:tcW w:w="1487" w:type="dxa"/>
            <w:vAlign w:val="center"/>
          </w:tcPr>
          <w:p w:rsidR="00762FA0" w:rsidRPr="00903C9A" w:rsidRDefault="00762FA0" w:rsidP="00262064">
            <w:pPr>
              <w:pStyle w:val="BodyText2"/>
              <w:widowControl w:val="0"/>
              <w:numPr>
                <w:ilvl w:val="0"/>
                <w:numId w:val="0"/>
              </w:numPr>
              <w:spacing w:after="0"/>
              <w:jc w:val="center"/>
              <w:rPr>
                <w:sz w:val="20"/>
              </w:rPr>
            </w:pPr>
            <w:r>
              <w:rPr>
                <w:sz w:val="20"/>
              </w:rPr>
              <w:t>NO</w:t>
            </w:r>
            <w:r>
              <w:rPr>
                <w:sz w:val="20"/>
                <w:vertAlign w:val="subscript"/>
              </w:rPr>
              <w:t>X</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0.05 lb/MMBtu</w:t>
            </w:r>
          </w:p>
        </w:tc>
        <w:tc>
          <w:tcPr>
            <w:tcW w:w="2782" w:type="dxa"/>
            <w:tcBorders>
              <w:right w:val="single" w:sz="12" w:space="0" w:color="auto"/>
            </w:tcBorders>
            <w:vAlign w:val="center"/>
          </w:tcPr>
          <w:p w:rsidR="00762FA0" w:rsidRPr="001B6505" w:rsidRDefault="00762FA0" w:rsidP="00262064">
            <w:pPr>
              <w:pStyle w:val="BodyText2"/>
              <w:widowControl w:val="0"/>
              <w:numPr>
                <w:ilvl w:val="0"/>
                <w:numId w:val="0"/>
              </w:numPr>
              <w:spacing w:after="0"/>
              <w:jc w:val="center"/>
              <w:rPr>
                <w:sz w:val="20"/>
              </w:rPr>
            </w:pPr>
            <w:r>
              <w:rPr>
                <w:sz w:val="20"/>
              </w:rPr>
              <w:t>DLN and GCP</w:t>
            </w:r>
          </w:p>
        </w:tc>
      </w:tr>
      <w:tr w:rsidR="00762FA0" w:rsidRPr="001B6505" w:rsidTr="0023692D">
        <w:trPr>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Align w:val="center"/>
          </w:tcPr>
          <w:p w:rsidR="00762FA0" w:rsidRPr="00E8321C" w:rsidRDefault="00762FA0" w:rsidP="00262064">
            <w:pPr>
              <w:pStyle w:val="BodyText2"/>
              <w:widowControl w:val="0"/>
              <w:numPr>
                <w:ilvl w:val="0"/>
                <w:numId w:val="0"/>
              </w:numPr>
              <w:spacing w:after="0"/>
              <w:jc w:val="center"/>
              <w:rPr>
                <w:sz w:val="20"/>
              </w:rPr>
            </w:pPr>
            <w:r>
              <w:rPr>
                <w:sz w:val="20"/>
              </w:rPr>
              <w:t>CO</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0.077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GCP</w:t>
            </w:r>
          </w:p>
        </w:tc>
      </w:tr>
      <w:tr w:rsidR="00762FA0" w:rsidRPr="001B6505" w:rsidTr="0023692D">
        <w:trPr>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Align w:val="center"/>
          </w:tcPr>
          <w:p w:rsidR="00762FA0" w:rsidRDefault="00762FA0" w:rsidP="00262064">
            <w:pPr>
              <w:pStyle w:val="BodyText2"/>
              <w:widowControl w:val="0"/>
              <w:numPr>
                <w:ilvl w:val="0"/>
                <w:numId w:val="0"/>
              </w:numPr>
              <w:spacing w:after="0"/>
              <w:jc w:val="center"/>
              <w:rPr>
                <w:sz w:val="20"/>
              </w:rPr>
            </w:pPr>
            <w:r>
              <w:rPr>
                <w:sz w:val="20"/>
              </w:rPr>
              <w:t>VOC</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0.008 lb/MMBtu</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Align w:val="center"/>
          </w:tcPr>
          <w:p w:rsidR="00762FA0" w:rsidRDefault="00762FA0" w:rsidP="00262064">
            <w:pPr>
              <w:pStyle w:val="BodyText2"/>
              <w:widowControl w:val="0"/>
              <w:numPr>
                <w:ilvl w:val="0"/>
                <w:numId w:val="0"/>
              </w:numPr>
              <w:spacing w:after="0"/>
              <w:jc w:val="center"/>
              <w:rPr>
                <w:sz w:val="20"/>
              </w:rPr>
            </w:pPr>
            <w:r>
              <w:rPr>
                <w:sz w:val="20"/>
              </w:rPr>
              <w:t>PM</w:t>
            </w:r>
            <w:r>
              <w:rPr>
                <w:sz w:val="20"/>
                <w:vertAlign w:val="subscript"/>
              </w:rPr>
              <w:t>10</w:t>
            </w:r>
            <w:r>
              <w:rPr>
                <w:sz w:val="20"/>
              </w:rPr>
              <w:t>/PM</w:t>
            </w:r>
            <w:r>
              <w:rPr>
                <w:sz w:val="20"/>
                <w:vertAlign w:val="subscript"/>
              </w:rPr>
              <w:t>2.5</w:t>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0.007 lb/MMBtu</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Align w:val="center"/>
          </w:tcPr>
          <w:p w:rsidR="00762FA0" w:rsidRPr="00DE3D00" w:rsidRDefault="00762FA0" w:rsidP="00262064">
            <w:pPr>
              <w:pStyle w:val="BodyText2"/>
              <w:widowControl w:val="0"/>
              <w:numPr>
                <w:ilvl w:val="0"/>
                <w:numId w:val="0"/>
              </w:numPr>
              <w:spacing w:after="0"/>
              <w:jc w:val="center"/>
              <w:rPr>
                <w:b/>
                <w:sz w:val="20"/>
                <w:vertAlign w:val="superscript"/>
              </w:rPr>
            </w:pPr>
            <w:r>
              <w:rPr>
                <w:sz w:val="20"/>
              </w:rPr>
              <w:t>GHG</w:t>
            </w:r>
            <w:r w:rsidR="00261298">
              <w:rPr>
                <w:sz w:val="20"/>
              </w:rPr>
              <w:t xml:space="preserve"> </w:t>
            </w:r>
            <w:r w:rsidR="00261298" w:rsidRPr="00261298">
              <w:rPr>
                <w:b/>
                <w:sz w:val="24"/>
                <w:szCs w:val="24"/>
                <w:vertAlign w:val="superscript"/>
              </w:rPr>
              <w:fldChar w:fldCharType="begin"/>
            </w:r>
            <w:r w:rsidR="00261298" w:rsidRPr="00261298">
              <w:rPr>
                <w:sz w:val="20"/>
                <w:vertAlign w:val="superscript"/>
              </w:rPr>
              <w:instrText xml:space="preserve"> REF _Ref511137044 \r \h </w:instrText>
            </w:r>
            <w:r w:rsidR="00261298" w:rsidRPr="00261298">
              <w:rPr>
                <w:b/>
                <w:sz w:val="24"/>
                <w:szCs w:val="24"/>
                <w:vertAlign w:val="superscript"/>
              </w:rPr>
              <w:instrText xml:space="preserve"> \* MERGEFORMAT </w:instrText>
            </w:r>
            <w:r w:rsidR="00261298" w:rsidRPr="00261298">
              <w:rPr>
                <w:b/>
                <w:sz w:val="24"/>
                <w:szCs w:val="24"/>
                <w:vertAlign w:val="superscript"/>
              </w:rPr>
            </w:r>
            <w:r w:rsidR="00261298" w:rsidRPr="00261298">
              <w:rPr>
                <w:b/>
                <w:sz w:val="24"/>
                <w:szCs w:val="24"/>
                <w:vertAlign w:val="superscript"/>
              </w:rPr>
              <w:fldChar w:fldCharType="separate"/>
            </w:r>
            <w:r w:rsidR="003E3FA4">
              <w:rPr>
                <w:sz w:val="20"/>
                <w:vertAlign w:val="superscript"/>
              </w:rPr>
              <w:t>b</w:t>
            </w:r>
            <w:r w:rsidR="00261298" w:rsidRPr="00261298">
              <w:rPr>
                <w:b/>
                <w:sz w:val="24"/>
                <w:szCs w:val="24"/>
                <w:vertAlign w:val="superscript"/>
              </w:rPr>
              <w:fldChar w:fldCharType="end"/>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28,514 tons/year</w:t>
            </w:r>
          </w:p>
        </w:tc>
        <w:tc>
          <w:tcPr>
            <w:tcW w:w="2782" w:type="dxa"/>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GCP</w:t>
            </w:r>
          </w:p>
        </w:tc>
      </w:tr>
      <w:tr w:rsidR="00762FA0" w:rsidRPr="001B6505" w:rsidTr="0023692D">
        <w:trPr>
          <w:trHeight w:val="288"/>
          <w:jc w:val="center"/>
        </w:trPr>
        <w:tc>
          <w:tcPr>
            <w:tcW w:w="1141" w:type="dxa"/>
            <w:vMerge w:val="restart"/>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OH-0352</w:t>
            </w:r>
          </w:p>
        </w:tc>
        <w:tc>
          <w:tcPr>
            <w:tcW w:w="1128" w:type="dxa"/>
            <w:vMerge w:val="restart"/>
            <w:vAlign w:val="center"/>
          </w:tcPr>
          <w:p w:rsidR="00762FA0" w:rsidRDefault="00762FA0" w:rsidP="00262064">
            <w:pPr>
              <w:pStyle w:val="BodyText2"/>
              <w:widowControl w:val="0"/>
              <w:numPr>
                <w:ilvl w:val="0"/>
                <w:numId w:val="0"/>
              </w:numPr>
              <w:spacing w:after="0"/>
              <w:jc w:val="center"/>
              <w:rPr>
                <w:sz w:val="20"/>
              </w:rPr>
            </w:pPr>
            <w:r>
              <w:rPr>
                <w:sz w:val="20"/>
              </w:rPr>
              <w:t>06/18/2013</w:t>
            </w:r>
          </w:p>
        </w:tc>
        <w:tc>
          <w:tcPr>
            <w:tcW w:w="1842" w:type="dxa"/>
            <w:vMerge w:val="restart"/>
            <w:vAlign w:val="center"/>
          </w:tcPr>
          <w:p w:rsidR="00762FA0" w:rsidRPr="007E3043" w:rsidRDefault="00762FA0" w:rsidP="00262064">
            <w:pPr>
              <w:pStyle w:val="BodyText2"/>
              <w:widowControl w:val="0"/>
              <w:numPr>
                <w:ilvl w:val="0"/>
                <w:numId w:val="0"/>
              </w:numPr>
              <w:spacing w:after="0"/>
              <w:jc w:val="center"/>
              <w:rPr>
                <w:b/>
                <w:sz w:val="20"/>
                <w:vertAlign w:val="superscript"/>
              </w:rPr>
            </w:pPr>
            <w:r>
              <w:rPr>
                <w:sz w:val="20"/>
              </w:rPr>
              <w:t>99 MMBtu/h</w:t>
            </w:r>
            <w:r w:rsidR="00261298">
              <w:rPr>
                <w:sz w:val="20"/>
              </w:rPr>
              <w:t>ou</w:t>
            </w:r>
            <w:r>
              <w:rPr>
                <w:sz w:val="20"/>
              </w:rPr>
              <w:t>r</w:t>
            </w:r>
            <w:r w:rsidR="00261298">
              <w:rPr>
                <w:sz w:val="20"/>
              </w:rPr>
              <w:t xml:space="preserve"> </w:t>
            </w:r>
            <w:r w:rsidR="00261298" w:rsidRPr="00261298">
              <w:rPr>
                <w:b/>
                <w:sz w:val="24"/>
                <w:szCs w:val="24"/>
                <w:vertAlign w:val="superscript"/>
              </w:rPr>
              <w:fldChar w:fldCharType="begin"/>
            </w:r>
            <w:r w:rsidR="00261298" w:rsidRPr="00261298">
              <w:rPr>
                <w:sz w:val="20"/>
                <w:vertAlign w:val="superscript"/>
              </w:rPr>
              <w:instrText xml:space="preserve"> REF _Ref511136972 \r \h </w:instrText>
            </w:r>
            <w:r w:rsidR="00261298" w:rsidRPr="00261298">
              <w:rPr>
                <w:b/>
                <w:sz w:val="24"/>
                <w:szCs w:val="24"/>
                <w:vertAlign w:val="superscript"/>
              </w:rPr>
              <w:instrText xml:space="preserve"> \* MERGEFORMAT </w:instrText>
            </w:r>
            <w:r w:rsidR="00261298" w:rsidRPr="00261298">
              <w:rPr>
                <w:b/>
                <w:sz w:val="24"/>
                <w:szCs w:val="24"/>
                <w:vertAlign w:val="superscript"/>
              </w:rPr>
            </w:r>
            <w:r w:rsidR="00261298" w:rsidRPr="00261298">
              <w:rPr>
                <w:b/>
                <w:sz w:val="24"/>
                <w:szCs w:val="24"/>
                <w:vertAlign w:val="superscript"/>
              </w:rPr>
              <w:fldChar w:fldCharType="separate"/>
            </w:r>
            <w:r w:rsidR="003E3FA4">
              <w:rPr>
                <w:sz w:val="20"/>
                <w:vertAlign w:val="superscript"/>
              </w:rPr>
              <w:t>a</w:t>
            </w:r>
            <w:r w:rsidR="00261298" w:rsidRPr="00261298">
              <w:rPr>
                <w:b/>
                <w:sz w:val="24"/>
                <w:szCs w:val="24"/>
                <w:vertAlign w:val="superscript"/>
              </w:rPr>
              <w:fldChar w:fldCharType="end"/>
            </w:r>
          </w:p>
        </w:tc>
        <w:tc>
          <w:tcPr>
            <w:tcW w:w="1487" w:type="dxa"/>
            <w:vMerge w:val="restart"/>
            <w:vAlign w:val="center"/>
          </w:tcPr>
          <w:p w:rsidR="00762FA0" w:rsidRPr="00551671" w:rsidRDefault="00762FA0" w:rsidP="00262064">
            <w:pPr>
              <w:pStyle w:val="BodyText2"/>
              <w:widowControl w:val="0"/>
              <w:numPr>
                <w:ilvl w:val="0"/>
                <w:numId w:val="0"/>
              </w:numPr>
              <w:spacing w:after="0"/>
              <w:jc w:val="center"/>
              <w:rPr>
                <w:sz w:val="20"/>
              </w:rPr>
            </w:pPr>
            <w:r>
              <w:rPr>
                <w:sz w:val="20"/>
              </w:rPr>
              <w:t>NO</w:t>
            </w:r>
            <w:r>
              <w:rPr>
                <w:sz w:val="20"/>
                <w:vertAlign w:val="subscript"/>
              </w:rPr>
              <w:t>X</w:t>
            </w: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sidRPr="00DF3FD3">
              <w:rPr>
                <w:sz w:val="20"/>
              </w:rPr>
              <w:t>0.02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DLN and FGR</w:t>
            </w:r>
          </w:p>
        </w:tc>
      </w:tr>
      <w:tr w:rsidR="00762FA0" w:rsidRPr="001B6505" w:rsidTr="0023692D">
        <w:trPr>
          <w:trHeight w:val="70"/>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Pr>
                <w:sz w:val="20"/>
              </w:rPr>
              <w:t>1.98 lb/h</w:t>
            </w:r>
            <w:r w:rsidR="00ED210D">
              <w:rPr>
                <w:sz w:val="20"/>
              </w:rPr>
              <w:t>ou</w:t>
            </w:r>
            <w:r>
              <w:rPr>
                <w:sz w:val="20"/>
              </w:rPr>
              <w:t>r</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288"/>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Default="00762FA0" w:rsidP="00262064">
            <w:pPr>
              <w:pStyle w:val="BodyText2"/>
              <w:widowControl w:val="0"/>
              <w:numPr>
                <w:ilvl w:val="0"/>
                <w:numId w:val="0"/>
              </w:numPr>
              <w:spacing w:after="0"/>
              <w:jc w:val="center"/>
              <w:rPr>
                <w:sz w:val="20"/>
              </w:rPr>
            </w:pPr>
            <w:r>
              <w:rPr>
                <w:sz w:val="20"/>
              </w:rPr>
              <w:t>CO</w:t>
            </w: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sidRPr="00DF3FD3">
              <w:rPr>
                <w:sz w:val="20"/>
              </w:rPr>
              <w:t>0.055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GCP and combustion optimization technology</w:t>
            </w:r>
          </w:p>
        </w:tc>
      </w:tr>
      <w:tr w:rsidR="00762FA0" w:rsidRPr="001B6505" w:rsidTr="0023692D">
        <w:trPr>
          <w:trHeight w:val="70"/>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Pr>
                <w:sz w:val="20"/>
              </w:rPr>
              <w:t>5.45 lb/h</w:t>
            </w:r>
            <w:r w:rsidR="00ED210D">
              <w:rPr>
                <w:sz w:val="20"/>
              </w:rPr>
              <w:t>ou</w:t>
            </w:r>
            <w:r>
              <w:rPr>
                <w:sz w:val="20"/>
              </w:rPr>
              <w:t>r</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288"/>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Default="00762FA0" w:rsidP="00262064">
            <w:pPr>
              <w:pStyle w:val="BodyText2"/>
              <w:widowControl w:val="0"/>
              <w:numPr>
                <w:ilvl w:val="0"/>
                <w:numId w:val="0"/>
              </w:numPr>
              <w:spacing w:after="0"/>
              <w:jc w:val="center"/>
              <w:rPr>
                <w:sz w:val="20"/>
              </w:rPr>
            </w:pPr>
            <w:r>
              <w:rPr>
                <w:sz w:val="20"/>
              </w:rPr>
              <w:t>SAM</w:t>
            </w: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sidRPr="00DF3FD3">
              <w:rPr>
                <w:sz w:val="20"/>
              </w:rPr>
              <w:t>0.0001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Natural gas with 0.5 gr S/100 scf</w:t>
            </w:r>
          </w:p>
        </w:tc>
      </w:tr>
      <w:tr w:rsidR="00762FA0" w:rsidRPr="001B6505" w:rsidTr="0023692D">
        <w:trPr>
          <w:trHeight w:val="152"/>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Pr>
                <w:sz w:val="20"/>
              </w:rPr>
              <w:t>0.011 lb/h</w:t>
            </w:r>
            <w:r w:rsidR="00ED210D">
              <w:rPr>
                <w:sz w:val="20"/>
              </w:rPr>
              <w:t>ou</w:t>
            </w:r>
            <w:r>
              <w:rPr>
                <w:sz w:val="20"/>
              </w:rPr>
              <w:t>r</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288"/>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Pr="00500675" w:rsidRDefault="00762FA0" w:rsidP="00262064">
            <w:pPr>
              <w:pStyle w:val="BodyText2"/>
              <w:widowControl w:val="0"/>
              <w:numPr>
                <w:ilvl w:val="0"/>
                <w:numId w:val="0"/>
              </w:numPr>
              <w:spacing w:after="0"/>
              <w:jc w:val="center"/>
              <w:rPr>
                <w:sz w:val="20"/>
              </w:rPr>
            </w:pPr>
            <w:r>
              <w:rPr>
                <w:sz w:val="20"/>
              </w:rPr>
              <w:t>PM</w:t>
            </w:r>
            <w:r>
              <w:rPr>
                <w:sz w:val="20"/>
                <w:vertAlign w:val="subscript"/>
              </w:rPr>
              <w:t>10</w:t>
            </w:r>
            <w:r>
              <w:rPr>
                <w:sz w:val="20"/>
              </w:rPr>
              <w:t>/PM</w:t>
            </w:r>
            <w:r>
              <w:rPr>
                <w:sz w:val="20"/>
                <w:vertAlign w:val="subscript"/>
              </w:rPr>
              <w:t>2.5</w:t>
            </w: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sidRPr="00DF3FD3">
              <w:rPr>
                <w:sz w:val="20"/>
              </w:rPr>
              <w:t>0.008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Clean fuels, only natural gas</w:t>
            </w:r>
          </w:p>
        </w:tc>
      </w:tr>
      <w:tr w:rsidR="00762FA0" w:rsidRPr="001B6505" w:rsidTr="0023692D">
        <w:trPr>
          <w:trHeight w:val="119"/>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Pr>
                <w:sz w:val="20"/>
              </w:rPr>
              <w:t>0.79 lb/h</w:t>
            </w:r>
            <w:r w:rsidR="00ED210D">
              <w:rPr>
                <w:sz w:val="20"/>
              </w:rPr>
              <w:t>ou</w:t>
            </w:r>
            <w:r>
              <w:rPr>
                <w:sz w:val="20"/>
              </w:rPr>
              <w:t>r</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278"/>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10% opacity, 6-minute average</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288"/>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restart"/>
            <w:vAlign w:val="center"/>
          </w:tcPr>
          <w:p w:rsidR="00762FA0" w:rsidRDefault="00762FA0" w:rsidP="00262064">
            <w:pPr>
              <w:pStyle w:val="BodyText2"/>
              <w:widowControl w:val="0"/>
              <w:numPr>
                <w:ilvl w:val="0"/>
                <w:numId w:val="0"/>
              </w:numPr>
              <w:spacing w:after="0"/>
              <w:jc w:val="center"/>
              <w:rPr>
                <w:sz w:val="20"/>
              </w:rPr>
            </w:pPr>
            <w:r>
              <w:rPr>
                <w:sz w:val="20"/>
              </w:rPr>
              <w:t>VOC</w:t>
            </w:r>
          </w:p>
        </w:tc>
        <w:tc>
          <w:tcPr>
            <w:tcW w:w="1757" w:type="dxa"/>
            <w:vAlign w:val="center"/>
          </w:tcPr>
          <w:p w:rsidR="00762FA0" w:rsidRPr="00DF3FD3" w:rsidRDefault="00762FA0" w:rsidP="00262064">
            <w:pPr>
              <w:pStyle w:val="BodyText2"/>
              <w:widowControl w:val="0"/>
              <w:numPr>
                <w:ilvl w:val="0"/>
                <w:numId w:val="0"/>
              </w:numPr>
              <w:spacing w:after="0"/>
              <w:jc w:val="center"/>
              <w:rPr>
                <w:sz w:val="20"/>
              </w:rPr>
            </w:pPr>
            <w:r>
              <w:rPr>
                <w:sz w:val="20"/>
              </w:rPr>
              <w:t>0.006 lb/MMBtu</w:t>
            </w:r>
          </w:p>
        </w:tc>
        <w:tc>
          <w:tcPr>
            <w:tcW w:w="2782" w:type="dxa"/>
            <w:vMerge w:val="restart"/>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GCP and combustion optimization technology</w:t>
            </w:r>
          </w:p>
        </w:tc>
      </w:tr>
      <w:tr w:rsidR="00762FA0" w:rsidRPr="001B6505" w:rsidTr="0023692D">
        <w:trPr>
          <w:trHeight w:val="143"/>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Merge/>
            <w:vAlign w:val="center"/>
          </w:tcPr>
          <w:p w:rsidR="00762FA0" w:rsidRDefault="00762FA0" w:rsidP="00262064">
            <w:pPr>
              <w:pStyle w:val="BodyText2"/>
              <w:widowControl w:val="0"/>
              <w:numPr>
                <w:ilvl w:val="0"/>
                <w:numId w:val="0"/>
              </w:numPr>
              <w:spacing w:after="0"/>
              <w:jc w:val="center"/>
              <w:rPr>
                <w:sz w:val="20"/>
              </w:rPr>
            </w:pP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0.59 lb/h</w:t>
            </w:r>
            <w:r w:rsidR="00ED210D">
              <w:rPr>
                <w:sz w:val="20"/>
              </w:rPr>
              <w:t>ou</w:t>
            </w:r>
            <w:r>
              <w:rPr>
                <w:sz w:val="20"/>
              </w:rPr>
              <w:t>r</w:t>
            </w:r>
          </w:p>
        </w:tc>
        <w:tc>
          <w:tcPr>
            <w:tcW w:w="2782" w:type="dxa"/>
            <w:vMerge/>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r>
      <w:tr w:rsidR="00762FA0" w:rsidRPr="001B6505" w:rsidTr="0023692D">
        <w:trPr>
          <w:trHeight w:val="70"/>
          <w:jc w:val="center"/>
        </w:trPr>
        <w:tc>
          <w:tcPr>
            <w:tcW w:w="1141" w:type="dxa"/>
            <w:vMerge/>
            <w:tcBorders>
              <w:left w:val="single" w:sz="12" w:space="0" w:color="auto"/>
            </w:tcBorders>
            <w:vAlign w:val="center"/>
          </w:tcPr>
          <w:p w:rsidR="00762FA0" w:rsidRDefault="00762FA0" w:rsidP="00262064">
            <w:pPr>
              <w:pStyle w:val="BodyText2"/>
              <w:widowControl w:val="0"/>
              <w:numPr>
                <w:ilvl w:val="0"/>
                <w:numId w:val="0"/>
              </w:numPr>
              <w:spacing w:after="0"/>
              <w:jc w:val="center"/>
              <w:rPr>
                <w:sz w:val="20"/>
              </w:rPr>
            </w:pPr>
          </w:p>
        </w:tc>
        <w:tc>
          <w:tcPr>
            <w:tcW w:w="1128" w:type="dxa"/>
            <w:vMerge/>
            <w:vAlign w:val="center"/>
          </w:tcPr>
          <w:p w:rsidR="00762FA0" w:rsidRDefault="00762FA0" w:rsidP="00262064">
            <w:pPr>
              <w:pStyle w:val="BodyText2"/>
              <w:widowControl w:val="0"/>
              <w:numPr>
                <w:ilvl w:val="0"/>
                <w:numId w:val="0"/>
              </w:numPr>
              <w:spacing w:after="0"/>
              <w:jc w:val="center"/>
              <w:rPr>
                <w:sz w:val="20"/>
              </w:rPr>
            </w:pPr>
          </w:p>
        </w:tc>
        <w:tc>
          <w:tcPr>
            <w:tcW w:w="1842" w:type="dxa"/>
            <w:vMerge/>
            <w:vAlign w:val="center"/>
          </w:tcPr>
          <w:p w:rsidR="00762FA0" w:rsidRDefault="00762FA0" w:rsidP="00262064">
            <w:pPr>
              <w:pStyle w:val="BodyText2"/>
              <w:widowControl w:val="0"/>
              <w:numPr>
                <w:ilvl w:val="0"/>
                <w:numId w:val="0"/>
              </w:numPr>
              <w:spacing w:after="0"/>
              <w:jc w:val="center"/>
              <w:rPr>
                <w:sz w:val="20"/>
              </w:rPr>
            </w:pPr>
          </w:p>
        </w:tc>
        <w:tc>
          <w:tcPr>
            <w:tcW w:w="1487" w:type="dxa"/>
            <w:vAlign w:val="center"/>
          </w:tcPr>
          <w:p w:rsidR="00762FA0" w:rsidRDefault="00762FA0" w:rsidP="00262064">
            <w:pPr>
              <w:pStyle w:val="BodyText2"/>
              <w:widowControl w:val="0"/>
              <w:numPr>
                <w:ilvl w:val="0"/>
                <w:numId w:val="0"/>
              </w:numPr>
              <w:spacing w:after="0"/>
              <w:jc w:val="center"/>
              <w:rPr>
                <w:sz w:val="20"/>
              </w:rPr>
            </w:pPr>
            <w:r>
              <w:rPr>
                <w:sz w:val="20"/>
              </w:rPr>
              <w:t>GHG</w:t>
            </w:r>
            <w:r w:rsidR="00261298">
              <w:rPr>
                <w:sz w:val="20"/>
              </w:rPr>
              <w:t xml:space="preserve"> </w:t>
            </w:r>
            <w:r w:rsidR="00261298" w:rsidRPr="00261298">
              <w:rPr>
                <w:b/>
                <w:sz w:val="24"/>
                <w:szCs w:val="24"/>
                <w:vertAlign w:val="superscript"/>
              </w:rPr>
              <w:fldChar w:fldCharType="begin"/>
            </w:r>
            <w:r w:rsidR="00261298" w:rsidRPr="00261298">
              <w:rPr>
                <w:sz w:val="20"/>
                <w:vertAlign w:val="superscript"/>
              </w:rPr>
              <w:instrText xml:space="preserve"> REF _Ref511137044 \r \h </w:instrText>
            </w:r>
            <w:r w:rsidR="00261298" w:rsidRPr="00261298">
              <w:rPr>
                <w:b/>
                <w:sz w:val="24"/>
                <w:szCs w:val="24"/>
                <w:vertAlign w:val="superscript"/>
              </w:rPr>
              <w:instrText xml:space="preserve"> \* MERGEFORMAT </w:instrText>
            </w:r>
            <w:r w:rsidR="00261298" w:rsidRPr="00261298">
              <w:rPr>
                <w:b/>
                <w:sz w:val="24"/>
                <w:szCs w:val="24"/>
                <w:vertAlign w:val="superscript"/>
              </w:rPr>
            </w:r>
            <w:r w:rsidR="00261298" w:rsidRPr="00261298">
              <w:rPr>
                <w:b/>
                <w:sz w:val="24"/>
                <w:szCs w:val="24"/>
                <w:vertAlign w:val="superscript"/>
              </w:rPr>
              <w:fldChar w:fldCharType="separate"/>
            </w:r>
            <w:r w:rsidR="003E3FA4">
              <w:rPr>
                <w:sz w:val="20"/>
                <w:vertAlign w:val="superscript"/>
              </w:rPr>
              <w:t>b</w:t>
            </w:r>
            <w:r w:rsidR="00261298" w:rsidRPr="00261298">
              <w:rPr>
                <w:b/>
                <w:sz w:val="24"/>
                <w:szCs w:val="24"/>
                <w:vertAlign w:val="superscript"/>
              </w:rPr>
              <w:fldChar w:fldCharType="end"/>
            </w:r>
          </w:p>
        </w:tc>
        <w:tc>
          <w:tcPr>
            <w:tcW w:w="1757" w:type="dxa"/>
            <w:vAlign w:val="center"/>
          </w:tcPr>
          <w:p w:rsidR="00762FA0" w:rsidRDefault="00762FA0" w:rsidP="00262064">
            <w:pPr>
              <w:pStyle w:val="BodyText2"/>
              <w:widowControl w:val="0"/>
              <w:numPr>
                <w:ilvl w:val="0"/>
                <w:numId w:val="0"/>
              </w:numPr>
              <w:spacing w:after="0"/>
              <w:jc w:val="center"/>
              <w:rPr>
                <w:sz w:val="20"/>
              </w:rPr>
            </w:pPr>
            <w:r>
              <w:rPr>
                <w:sz w:val="20"/>
              </w:rPr>
              <w:t>11,761 tons/year</w:t>
            </w:r>
          </w:p>
        </w:tc>
        <w:tc>
          <w:tcPr>
            <w:tcW w:w="2782" w:type="dxa"/>
            <w:tcBorders>
              <w:right w:val="single" w:sz="12" w:space="0" w:color="auto"/>
            </w:tcBorders>
            <w:vAlign w:val="center"/>
          </w:tcPr>
          <w:p w:rsidR="00762FA0" w:rsidRDefault="00762FA0" w:rsidP="00262064">
            <w:pPr>
              <w:pStyle w:val="BodyText2"/>
              <w:widowControl w:val="0"/>
              <w:numPr>
                <w:ilvl w:val="0"/>
                <w:numId w:val="0"/>
              </w:numPr>
              <w:spacing w:after="0"/>
              <w:jc w:val="center"/>
              <w:rPr>
                <w:sz w:val="20"/>
              </w:rPr>
            </w:pPr>
            <w:r>
              <w:rPr>
                <w:sz w:val="20"/>
              </w:rPr>
              <w:t>GCP and Energy efficiency</w:t>
            </w:r>
          </w:p>
        </w:tc>
      </w:tr>
      <w:tr w:rsidR="00DF3719" w:rsidRPr="001B6505" w:rsidTr="0023692D">
        <w:trPr>
          <w:trHeight w:val="288"/>
          <w:jc w:val="center"/>
        </w:trPr>
        <w:tc>
          <w:tcPr>
            <w:tcW w:w="1141" w:type="dxa"/>
            <w:vMerge w:val="restart"/>
            <w:tcBorders>
              <w:left w:val="single" w:sz="12" w:space="0" w:color="auto"/>
            </w:tcBorders>
            <w:vAlign w:val="center"/>
          </w:tcPr>
          <w:p w:rsidR="00DF3719" w:rsidRPr="00E8321C" w:rsidRDefault="00DF3719" w:rsidP="00262064">
            <w:pPr>
              <w:pStyle w:val="BodyText2"/>
              <w:widowControl w:val="0"/>
              <w:numPr>
                <w:ilvl w:val="0"/>
                <w:numId w:val="0"/>
              </w:numPr>
              <w:spacing w:after="0"/>
              <w:jc w:val="center"/>
              <w:rPr>
                <w:sz w:val="20"/>
              </w:rPr>
            </w:pPr>
            <w:r>
              <w:rPr>
                <w:sz w:val="20"/>
              </w:rPr>
              <w:t>KY-0106</w:t>
            </w:r>
          </w:p>
        </w:tc>
        <w:tc>
          <w:tcPr>
            <w:tcW w:w="1128" w:type="dxa"/>
            <w:vMerge w:val="restart"/>
            <w:vAlign w:val="center"/>
          </w:tcPr>
          <w:p w:rsidR="00DF3719" w:rsidRPr="00E8321C" w:rsidRDefault="00DF3719" w:rsidP="00262064">
            <w:pPr>
              <w:pStyle w:val="BodyText2"/>
              <w:widowControl w:val="0"/>
              <w:numPr>
                <w:ilvl w:val="0"/>
                <w:numId w:val="0"/>
              </w:numPr>
              <w:spacing w:after="0"/>
              <w:jc w:val="center"/>
              <w:rPr>
                <w:sz w:val="20"/>
              </w:rPr>
            </w:pPr>
            <w:r>
              <w:rPr>
                <w:sz w:val="20"/>
              </w:rPr>
              <w:t>09/30/2016</w:t>
            </w:r>
          </w:p>
        </w:tc>
        <w:tc>
          <w:tcPr>
            <w:tcW w:w="1842" w:type="dxa"/>
            <w:vMerge w:val="restart"/>
            <w:vAlign w:val="center"/>
          </w:tcPr>
          <w:p w:rsidR="00DF3719" w:rsidRPr="003E57B9" w:rsidRDefault="00DF3719" w:rsidP="00262064">
            <w:pPr>
              <w:pStyle w:val="BodyText2"/>
              <w:widowControl w:val="0"/>
              <w:numPr>
                <w:ilvl w:val="0"/>
                <w:numId w:val="0"/>
              </w:numPr>
              <w:spacing w:after="0"/>
              <w:jc w:val="center"/>
              <w:rPr>
                <w:b/>
                <w:sz w:val="20"/>
                <w:vertAlign w:val="superscript"/>
              </w:rPr>
            </w:pPr>
            <w:r>
              <w:rPr>
                <w:sz w:val="20"/>
              </w:rPr>
              <w:t>2 boilers,</w:t>
            </w:r>
            <w:r>
              <w:rPr>
                <w:sz w:val="20"/>
              </w:rPr>
              <w:br/>
              <w:t xml:space="preserve"> 40 MMBtu/hour each</w:t>
            </w:r>
            <w:r>
              <w:rPr>
                <w:b/>
                <w:sz w:val="24"/>
                <w:szCs w:val="24"/>
                <w:vertAlign w:val="superscript"/>
              </w:rPr>
              <w:t xml:space="preserve"> </w:t>
            </w:r>
            <w:r w:rsidRPr="002F015B">
              <w:rPr>
                <w:b/>
                <w:sz w:val="24"/>
                <w:szCs w:val="24"/>
                <w:vertAlign w:val="superscript"/>
              </w:rPr>
              <w:fldChar w:fldCharType="begin"/>
            </w:r>
            <w:r w:rsidRPr="002F015B">
              <w:rPr>
                <w:b/>
                <w:sz w:val="24"/>
                <w:szCs w:val="24"/>
                <w:vertAlign w:val="superscript"/>
              </w:rPr>
              <w:instrText xml:space="preserve"> REF _Ref511137456 \r \h  \* MERGEFORMAT </w:instrText>
            </w:r>
            <w:r w:rsidRPr="002F015B">
              <w:rPr>
                <w:b/>
                <w:sz w:val="24"/>
                <w:szCs w:val="24"/>
                <w:vertAlign w:val="superscript"/>
              </w:rPr>
            </w:r>
            <w:r w:rsidRPr="002F015B">
              <w:rPr>
                <w:b/>
                <w:sz w:val="24"/>
                <w:szCs w:val="24"/>
                <w:vertAlign w:val="superscript"/>
              </w:rPr>
              <w:fldChar w:fldCharType="separate"/>
            </w:r>
            <w:r>
              <w:rPr>
                <w:b/>
                <w:sz w:val="24"/>
                <w:szCs w:val="24"/>
                <w:vertAlign w:val="superscript"/>
              </w:rPr>
              <w:t>c</w:t>
            </w:r>
            <w:r w:rsidRPr="002F015B">
              <w:rPr>
                <w:b/>
                <w:sz w:val="24"/>
                <w:szCs w:val="24"/>
                <w:vertAlign w:val="superscript"/>
              </w:rPr>
              <w:fldChar w:fldCharType="end"/>
            </w:r>
            <w:r w:rsidRPr="002F015B">
              <w:rPr>
                <w:b/>
                <w:sz w:val="24"/>
                <w:szCs w:val="24"/>
                <w:vertAlign w:val="superscript"/>
              </w:rPr>
              <w:t>,</w:t>
            </w:r>
            <w:r w:rsidRPr="002F015B">
              <w:rPr>
                <w:b/>
                <w:sz w:val="24"/>
                <w:szCs w:val="24"/>
                <w:vertAlign w:val="superscript"/>
              </w:rPr>
              <w:fldChar w:fldCharType="begin"/>
            </w:r>
            <w:r w:rsidRPr="002F015B">
              <w:rPr>
                <w:b/>
                <w:sz w:val="24"/>
                <w:szCs w:val="24"/>
                <w:vertAlign w:val="superscript"/>
              </w:rPr>
              <w:instrText xml:space="preserve"> REF _Ref511137459 \r \h  \* MERGEFORMAT </w:instrText>
            </w:r>
            <w:r w:rsidRPr="002F015B">
              <w:rPr>
                <w:b/>
                <w:sz w:val="24"/>
                <w:szCs w:val="24"/>
                <w:vertAlign w:val="superscript"/>
              </w:rPr>
            </w:r>
            <w:r w:rsidRPr="002F015B">
              <w:rPr>
                <w:b/>
                <w:sz w:val="24"/>
                <w:szCs w:val="24"/>
                <w:vertAlign w:val="superscript"/>
              </w:rPr>
              <w:fldChar w:fldCharType="separate"/>
            </w:r>
            <w:r>
              <w:rPr>
                <w:b/>
                <w:sz w:val="24"/>
                <w:szCs w:val="24"/>
                <w:vertAlign w:val="superscript"/>
              </w:rPr>
              <w:t>d</w:t>
            </w:r>
            <w:r w:rsidRPr="002F015B">
              <w:rPr>
                <w:b/>
                <w:sz w:val="24"/>
                <w:szCs w:val="24"/>
                <w:vertAlign w:val="superscript"/>
              </w:rPr>
              <w:fldChar w:fldCharType="end"/>
            </w:r>
          </w:p>
        </w:tc>
        <w:tc>
          <w:tcPr>
            <w:tcW w:w="1487" w:type="dxa"/>
            <w:vAlign w:val="center"/>
          </w:tcPr>
          <w:p w:rsidR="00DF3719" w:rsidRPr="00D7791E" w:rsidRDefault="00DF3719" w:rsidP="00262064">
            <w:pPr>
              <w:pStyle w:val="BodyText2"/>
              <w:widowControl w:val="0"/>
              <w:numPr>
                <w:ilvl w:val="0"/>
                <w:numId w:val="0"/>
              </w:numPr>
              <w:spacing w:after="0"/>
              <w:jc w:val="center"/>
              <w:rPr>
                <w:sz w:val="20"/>
              </w:rPr>
            </w:pPr>
            <w:r>
              <w:rPr>
                <w:sz w:val="20"/>
              </w:rPr>
              <w:t>NO</w:t>
            </w:r>
            <w:r>
              <w:rPr>
                <w:sz w:val="20"/>
                <w:vertAlign w:val="subscript"/>
              </w:rPr>
              <w:t>X</w:t>
            </w:r>
          </w:p>
        </w:tc>
        <w:tc>
          <w:tcPr>
            <w:tcW w:w="1757" w:type="dxa"/>
            <w:vAlign w:val="center"/>
          </w:tcPr>
          <w:p w:rsidR="00DF3719" w:rsidRPr="00B37A8F" w:rsidRDefault="00DF3719" w:rsidP="00262064">
            <w:pPr>
              <w:pStyle w:val="BodyText2"/>
              <w:widowControl w:val="0"/>
              <w:numPr>
                <w:ilvl w:val="0"/>
                <w:numId w:val="0"/>
              </w:numPr>
              <w:spacing w:after="0"/>
              <w:jc w:val="center"/>
              <w:rPr>
                <w:b/>
                <w:sz w:val="20"/>
              </w:rPr>
            </w:pPr>
            <w:r>
              <w:rPr>
                <w:sz w:val="20"/>
              </w:rPr>
              <w:t>0.011 lb/MMBtu</w:t>
            </w:r>
          </w:p>
        </w:tc>
        <w:tc>
          <w:tcPr>
            <w:tcW w:w="2782" w:type="dxa"/>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r>
              <w:rPr>
                <w:sz w:val="20"/>
              </w:rPr>
              <w:t>DLN</w:t>
            </w:r>
          </w:p>
        </w:tc>
      </w:tr>
      <w:tr w:rsidR="00DF3719" w:rsidRPr="001B6505" w:rsidTr="0023692D">
        <w:trPr>
          <w:trHeight w:val="288"/>
          <w:jc w:val="center"/>
        </w:trPr>
        <w:tc>
          <w:tcPr>
            <w:tcW w:w="1141" w:type="dxa"/>
            <w:vMerge/>
            <w:tcBorders>
              <w:lef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c>
          <w:tcPr>
            <w:tcW w:w="1128" w:type="dxa"/>
            <w:vMerge/>
            <w:vAlign w:val="center"/>
          </w:tcPr>
          <w:p w:rsidR="00DF3719" w:rsidRDefault="00DF3719" w:rsidP="00262064">
            <w:pPr>
              <w:pStyle w:val="BodyText2"/>
              <w:widowControl w:val="0"/>
              <w:numPr>
                <w:ilvl w:val="0"/>
                <w:numId w:val="0"/>
              </w:numPr>
              <w:spacing w:after="0"/>
              <w:jc w:val="center"/>
              <w:rPr>
                <w:sz w:val="20"/>
              </w:rPr>
            </w:pPr>
          </w:p>
        </w:tc>
        <w:tc>
          <w:tcPr>
            <w:tcW w:w="1842" w:type="dxa"/>
            <w:vMerge/>
            <w:vAlign w:val="center"/>
          </w:tcPr>
          <w:p w:rsidR="00DF3719" w:rsidRDefault="00DF3719" w:rsidP="00262064">
            <w:pPr>
              <w:pStyle w:val="BodyText2"/>
              <w:widowControl w:val="0"/>
              <w:numPr>
                <w:ilvl w:val="0"/>
                <w:numId w:val="0"/>
              </w:numPr>
              <w:spacing w:after="0"/>
              <w:jc w:val="center"/>
              <w:rPr>
                <w:sz w:val="20"/>
              </w:rPr>
            </w:pPr>
          </w:p>
        </w:tc>
        <w:tc>
          <w:tcPr>
            <w:tcW w:w="1487" w:type="dxa"/>
            <w:vAlign w:val="center"/>
          </w:tcPr>
          <w:p w:rsidR="00DF3719" w:rsidRDefault="00DF3719" w:rsidP="00262064">
            <w:pPr>
              <w:pStyle w:val="BodyText2"/>
              <w:widowControl w:val="0"/>
              <w:numPr>
                <w:ilvl w:val="0"/>
                <w:numId w:val="0"/>
              </w:numPr>
              <w:spacing w:after="0"/>
              <w:jc w:val="center"/>
              <w:rPr>
                <w:sz w:val="20"/>
              </w:rPr>
            </w:pPr>
            <w:r>
              <w:rPr>
                <w:sz w:val="20"/>
              </w:rPr>
              <w:t>CO</w:t>
            </w:r>
          </w:p>
        </w:tc>
        <w:tc>
          <w:tcPr>
            <w:tcW w:w="1757" w:type="dxa"/>
            <w:vAlign w:val="center"/>
          </w:tcPr>
          <w:p w:rsidR="00DF3719" w:rsidRDefault="00DF3719" w:rsidP="00262064">
            <w:pPr>
              <w:pStyle w:val="BodyText2"/>
              <w:widowControl w:val="0"/>
              <w:numPr>
                <w:ilvl w:val="0"/>
                <w:numId w:val="0"/>
              </w:numPr>
              <w:spacing w:after="0"/>
              <w:jc w:val="center"/>
              <w:rPr>
                <w:sz w:val="20"/>
              </w:rPr>
            </w:pPr>
            <w:r>
              <w:rPr>
                <w:sz w:val="20"/>
              </w:rPr>
              <w:t>0.036 lb/MMBtu</w:t>
            </w:r>
          </w:p>
        </w:tc>
        <w:tc>
          <w:tcPr>
            <w:tcW w:w="2782" w:type="dxa"/>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r>
              <w:rPr>
                <w:sz w:val="20"/>
              </w:rPr>
              <w:t>GCP</w:t>
            </w:r>
          </w:p>
        </w:tc>
      </w:tr>
      <w:tr w:rsidR="00DF3719" w:rsidRPr="001B6505" w:rsidTr="0023692D">
        <w:trPr>
          <w:trHeight w:val="233"/>
          <w:jc w:val="center"/>
        </w:trPr>
        <w:tc>
          <w:tcPr>
            <w:tcW w:w="1141" w:type="dxa"/>
            <w:vMerge/>
            <w:tcBorders>
              <w:lef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c>
          <w:tcPr>
            <w:tcW w:w="1128" w:type="dxa"/>
            <w:vMerge/>
            <w:vAlign w:val="center"/>
          </w:tcPr>
          <w:p w:rsidR="00DF3719" w:rsidRDefault="00DF3719" w:rsidP="00262064">
            <w:pPr>
              <w:pStyle w:val="BodyText2"/>
              <w:widowControl w:val="0"/>
              <w:numPr>
                <w:ilvl w:val="0"/>
                <w:numId w:val="0"/>
              </w:numPr>
              <w:spacing w:after="0"/>
              <w:jc w:val="center"/>
              <w:rPr>
                <w:sz w:val="20"/>
              </w:rPr>
            </w:pPr>
          </w:p>
        </w:tc>
        <w:tc>
          <w:tcPr>
            <w:tcW w:w="1842" w:type="dxa"/>
            <w:vMerge/>
            <w:vAlign w:val="center"/>
          </w:tcPr>
          <w:p w:rsidR="00DF3719" w:rsidRDefault="00DF3719" w:rsidP="00262064">
            <w:pPr>
              <w:pStyle w:val="BodyText2"/>
              <w:widowControl w:val="0"/>
              <w:numPr>
                <w:ilvl w:val="0"/>
                <w:numId w:val="0"/>
              </w:numPr>
              <w:spacing w:after="0"/>
              <w:jc w:val="center"/>
              <w:rPr>
                <w:sz w:val="20"/>
              </w:rPr>
            </w:pPr>
          </w:p>
        </w:tc>
        <w:tc>
          <w:tcPr>
            <w:tcW w:w="1487" w:type="dxa"/>
            <w:vAlign w:val="center"/>
          </w:tcPr>
          <w:p w:rsidR="00DF3719" w:rsidRPr="00D7791E" w:rsidRDefault="00DF3719" w:rsidP="00262064">
            <w:pPr>
              <w:pStyle w:val="BodyText2"/>
              <w:widowControl w:val="0"/>
              <w:numPr>
                <w:ilvl w:val="0"/>
                <w:numId w:val="0"/>
              </w:numPr>
              <w:spacing w:after="0"/>
              <w:jc w:val="center"/>
              <w:rPr>
                <w:sz w:val="20"/>
              </w:rPr>
            </w:pPr>
            <w:r>
              <w:rPr>
                <w:sz w:val="20"/>
              </w:rPr>
              <w:t>SO</w:t>
            </w:r>
            <w:r>
              <w:rPr>
                <w:sz w:val="20"/>
                <w:vertAlign w:val="subscript"/>
              </w:rPr>
              <w:t>2</w:t>
            </w:r>
          </w:p>
        </w:tc>
        <w:tc>
          <w:tcPr>
            <w:tcW w:w="1757" w:type="dxa"/>
            <w:vAlign w:val="center"/>
          </w:tcPr>
          <w:p w:rsidR="00DF3719" w:rsidRDefault="00DF3719" w:rsidP="00262064">
            <w:pPr>
              <w:pStyle w:val="BodyText2"/>
              <w:widowControl w:val="0"/>
              <w:numPr>
                <w:ilvl w:val="0"/>
                <w:numId w:val="0"/>
              </w:numPr>
              <w:spacing w:after="0"/>
              <w:jc w:val="center"/>
              <w:rPr>
                <w:sz w:val="20"/>
              </w:rPr>
            </w:pPr>
            <w:r>
              <w:rPr>
                <w:sz w:val="20"/>
              </w:rPr>
              <w:t>0.0028 lb/MMBtu</w:t>
            </w:r>
          </w:p>
        </w:tc>
        <w:tc>
          <w:tcPr>
            <w:tcW w:w="2782" w:type="dxa"/>
            <w:vMerge w:val="restart"/>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r>
              <w:rPr>
                <w:sz w:val="20"/>
              </w:rPr>
              <w:t>Low sulfur fuel</w:t>
            </w:r>
          </w:p>
        </w:tc>
      </w:tr>
      <w:tr w:rsidR="00DF3719" w:rsidRPr="001B6505" w:rsidTr="0023692D">
        <w:trPr>
          <w:trHeight w:val="288"/>
          <w:jc w:val="center"/>
        </w:trPr>
        <w:tc>
          <w:tcPr>
            <w:tcW w:w="1141" w:type="dxa"/>
            <w:vMerge/>
            <w:tcBorders>
              <w:lef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c>
          <w:tcPr>
            <w:tcW w:w="1128" w:type="dxa"/>
            <w:vMerge/>
            <w:vAlign w:val="center"/>
          </w:tcPr>
          <w:p w:rsidR="00DF3719" w:rsidRDefault="00DF3719" w:rsidP="00262064">
            <w:pPr>
              <w:pStyle w:val="BodyText2"/>
              <w:widowControl w:val="0"/>
              <w:numPr>
                <w:ilvl w:val="0"/>
                <w:numId w:val="0"/>
              </w:numPr>
              <w:spacing w:after="0"/>
              <w:jc w:val="center"/>
              <w:rPr>
                <w:sz w:val="20"/>
              </w:rPr>
            </w:pPr>
          </w:p>
        </w:tc>
        <w:tc>
          <w:tcPr>
            <w:tcW w:w="1842" w:type="dxa"/>
            <w:vMerge/>
            <w:vAlign w:val="center"/>
          </w:tcPr>
          <w:p w:rsidR="00DF3719" w:rsidRDefault="00DF3719" w:rsidP="00262064">
            <w:pPr>
              <w:pStyle w:val="BodyText2"/>
              <w:widowControl w:val="0"/>
              <w:numPr>
                <w:ilvl w:val="0"/>
                <w:numId w:val="0"/>
              </w:numPr>
              <w:spacing w:after="0"/>
              <w:jc w:val="center"/>
              <w:rPr>
                <w:sz w:val="20"/>
              </w:rPr>
            </w:pPr>
          </w:p>
        </w:tc>
        <w:tc>
          <w:tcPr>
            <w:tcW w:w="1487" w:type="dxa"/>
            <w:vAlign w:val="center"/>
          </w:tcPr>
          <w:p w:rsidR="00DF3719" w:rsidRDefault="00DF3719" w:rsidP="00262064">
            <w:pPr>
              <w:pStyle w:val="BodyText2"/>
              <w:widowControl w:val="0"/>
              <w:numPr>
                <w:ilvl w:val="0"/>
                <w:numId w:val="0"/>
              </w:numPr>
              <w:spacing w:after="0"/>
              <w:jc w:val="center"/>
              <w:rPr>
                <w:sz w:val="20"/>
              </w:rPr>
            </w:pPr>
            <w:r>
              <w:rPr>
                <w:sz w:val="20"/>
              </w:rPr>
              <w:t>SAM</w:t>
            </w:r>
          </w:p>
        </w:tc>
        <w:tc>
          <w:tcPr>
            <w:tcW w:w="1757" w:type="dxa"/>
            <w:vAlign w:val="center"/>
          </w:tcPr>
          <w:p w:rsidR="00DF3719" w:rsidRDefault="00DF3719" w:rsidP="00262064">
            <w:pPr>
              <w:pStyle w:val="BodyText2"/>
              <w:widowControl w:val="0"/>
              <w:numPr>
                <w:ilvl w:val="0"/>
                <w:numId w:val="0"/>
              </w:numPr>
              <w:spacing w:after="0"/>
              <w:jc w:val="center"/>
              <w:rPr>
                <w:sz w:val="20"/>
              </w:rPr>
            </w:pPr>
            <w:r>
              <w:rPr>
                <w:sz w:val="20"/>
              </w:rPr>
              <w:t>0.00064 lb/MMBtu</w:t>
            </w:r>
          </w:p>
        </w:tc>
        <w:tc>
          <w:tcPr>
            <w:tcW w:w="2782" w:type="dxa"/>
            <w:vMerge/>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r>
      <w:tr w:rsidR="00DF3719" w:rsidRPr="001B6505" w:rsidTr="0023692D">
        <w:trPr>
          <w:trHeight w:val="288"/>
          <w:jc w:val="center"/>
        </w:trPr>
        <w:tc>
          <w:tcPr>
            <w:tcW w:w="1141" w:type="dxa"/>
            <w:vMerge w:val="restart"/>
            <w:tcBorders>
              <w:left w:val="single" w:sz="12" w:space="0" w:color="auto"/>
            </w:tcBorders>
            <w:vAlign w:val="center"/>
          </w:tcPr>
          <w:p w:rsidR="00DF3719" w:rsidRDefault="00DF3719" w:rsidP="00DF3719">
            <w:pPr>
              <w:pStyle w:val="BodyText2"/>
              <w:widowControl w:val="0"/>
              <w:numPr>
                <w:ilvl w:val="0"/>
                <w:numId w:val="0"/>
              </w:numPr>
              <w:spacing w:after="0"/>
              <w:jc w:val="center"/>
              <w:rPr>
                <w:sz w:val="20"/>
              </w:rPr>
            </w:pPr>
            <w:r>
              <w:rPr>
                <w:sz w:val="20"/>
              </w:rPr>
              <w:t>KY-0106</w:t>
            </w:r>
          </w:p>
        </w:tc>
        <w:tc>
          <w:tcPr>
            <w:tcW w:w="1128" w:type="dxa"/>
            <w:vMerge w:val="restart"/>
            <w:vAlign w:val="center"/>
          </w:tcPr>
          <w:p w:rsidR="00DF3719" w:rsidRPr="00E8321C" w:rsidRDefault="00DF3719" w:rsidP="00DF3719">
            <w:pPr>
              <w:pStyle w:val="BodyText2"/>
              <w:widowControl w:val="0"/>
              <w:numPr>
                <w:ilvl w:val="0"/>
                <w:numId w:val="0"/>
              </w:numPr>
              <w:spacing w:after="0"/>
              <w:jc w:val="center"/>
              <w:rPr>
                <w:sz w:val="20"/>
              </w:rPr>
            </w:pPr>
            <w:r>
              <w:rPr>
                <w:sz w:val="20"/>
              </w:rPr>
              <w:t>09/30/2016</w:t>
            </w:r>
          </w:p>
        </w:tc>
        <w:tc>
          <w:tcPr>
            <w:tcW w:w="1842" w:type="dxa"/>
            <w:vMerge w:val="restart"/>
            <w:vAlign w:val="center"/>
          </w:tcPr>
          <w:p w:rsidR="00DF3719" w:rsidRDefault="00DF3719" w:rsidP="00DF3719">
            <w:pPr>
              <w:pStyle w:val="BodyText2"/>
              <w:widowControl w:val="0"/>
              <w:numPr>
                <w:ilvl w:val="0"/>
                <w:numId w:val="0"/>
              </w:numPr>
              <w:spacing w:after="0"/>
              <w:jc w:val="center"/>
              <w:rPr>
                <w:sz w:val="20"/>
              </w:rPr>
            </w:pPr>
            <w:r>
              <w:rPr>
                <w:sz w:val="20"/>
              </w:rPr>
              <w:t>2 boilers,</w:t>
            </w:r>
            <w:r>
              <w:rPr>
                <w:sz w:val="20"/>
              </w:rPr>
              <w:br/>
              <w:t xml:space="preserve"> 40 MMBtu/hour each</w:t>
            </w:r>
            <w:r>
              <w:rPr>
                <w:b/>
                <w:sz w:val="24"/>
                <w:szCs w:val="24"/>
                <w:vertAlign w:val="superscript"/>
              </w:rPr>
              <w:t xml:space="preserve"> </w:t>
            </w:r>
            <w:r w:rsidRPr="002F015B">
              <w:rPr>
                <w:b/>
                <w:sz w:val="24"/>
                <w:szCs w:val="24"/>
                <w:vertAlign w:val="superscript"/>
              </w:rPr>
              <w:fldChar w:fldCharType="begin"/>
            </w:r>
            <w:r w:rsidRPr="002F015B">
              <w:rPr>
                <w:b/>
                <w:sz w:val="24"/>
                <w:szCs w:val="24"/>
                <w:vertAlign w:val="superscript"/>
              </w:rPr>
              <w:instrText xml:space="preserve"> REF _Ref511137456 \r \h  \* MERGEFORMAT </w:instrText>
            </w:r>
            <w:r w:rsidRPr="002F015B">
              <w:rPr>
                <w:b/>
                <w:sz w:val="24"/>
                <w:szCs w:val="24"/>
                <w:vertAlign w:val="superscript"/>
              </w:rPr>
            </w:r>
            <w:r w:rsidRPr="002F015B">
              <w:rPr>
                <w:b/>
                <w:sz w:val="24"/>
                <w:szCs w:val="24"/>
                <w:vertAlign w:val="superscript"/>
              </w:rPr>
              <w:fldChar w:fldCharType="separate"/>
            </w:r>
            <w:r>
              <w:rPr>
                <w:b/>
                <w:sz w:val="24"/>
                <w:szCs w:val="24"/>
                <w:vertAlign w:val="superscript"/>
              </w:rPr>
              <w:t>c</w:t>
            </w:r>
            <w:r w:rsidRPr="002F015B">
              <w:rPr>
                <w:b/>
                <w:sz w:val="24"/>
                <w:szCs w:val="24"/>
                <w:vertAlign w:val="superscript"/>
              </w:rPr>
              <w:fldChar w:fldCharType="end"/>
            </w:r>
            <w:r w:rsidRPr="002F015B">
              <w:rPr>
                <w:b/>
                <w:sz w:val="24"/>
                <w:szCs w:val="24"/>
                <w:vertAlign w:val="superscript"/>
              </w:rPr>
              <w:t>,</w:t>
            </w:r>
            <w:r w:rsidRPr="002F015B">
              <w:rPr>
                <w:b/>
                <w:sz w:val="24"/>
                <w:szCs w:val="24"/>
                <w:vertAlign w:val="superscript"/>
              </w:rPr>
              <w:fldChar w:fldCharType="begin"/>
            </w:r>
            <w:r w:rsidRPr="002F015B">
              <w:rPr>
                <w:b/>
                <w:sz w:val="24"/>
                <w:szCs w:val="24"/>
                <w:vertAlign w:val="superscript"/>
              </w:rPr>
              <w:instrText xml:space="preserve"> REF _Ref511137459 \r \h  \* MERGEFORMAT </w:instrText>
            </w:r>
            <w:r w:rsidRPr="002F015B">
              <w:rPr>
                <w:b/>
                <w:sz w:val="24"/>
                <w:szCs w:val="24"/>
                <w:vertAlign w:val="superscript"/>
              </w:rPr>
            </w:r>
            <w:r w:rsidRPr="002F015B">
              <w:rPr>
                <w:b/>
                <w:sz w:val="24"/>
                <w:szCs w:val="24"/>
                <w:vertAlign w:val="superscript"/>
              </w:rPr>
              <w:fldChar w:fldCharType="separate"/>
            </w:r>
            <w:r>
              <w:rPr>
                <w:b/>
                <w:sz w:val="24"/>
                <w:szCs w:val="24"/>
                <w:vertAlign w:val="superscript"/>
              </w:rPr>
              <w:t>d</w:t>
            </w:r>
            <w:r w:rsidRPr="002F015B">
              <w:rPr>
                <w:b/>
                <w:sz w:val="24"/>
                <w:szCs w:val="24"/>
                <w:vertAlign w:val="superscript"/>
              </w:rPr>
              <w:fldChar w:fldCharType="end"/>
            </w:r>
          </w:p>
        </w:tc>
        <w:tc>
          <w:tcPr>
            <w:tcW w:w="1487" w:type="dxa"/>
            <w:vAlign w:val="center"/>
          </w:tcPr>
          <w:p w:rsidR="00DF3719" w:rsidRPr="00D7791E" w:rsidRDefault="00DF3719" w:rsidP="00DF3719">
            <w:pPr>
              <w:pStyle w:val="BodyText2"/>
              <w:widowControl w:val="0"/>
              <w:numPr>
                <w:ilvl w:val="0"/>
                <w:numId w:val="0"/>
              </w:numPr>
              <w:spacing w:after="0"/>
              <w:jc w:val="center"/>
              <w:rPr>
                <w:sz w:val="20"/>
                <w:vertAlign w:val="subscript"/>
              </w:rPr>
            </w:pPr>
            <w:r>
              <w:rPr>
                <w:sz w:val="20"/>
              </w:rPr>
              <w:t>PM/PM</w:t>
            </w:r>
            <w:r>
              <w:rPr>
                <w:sz w:val="20"/>
                <w:vertAlign w:val="subscript"/>
              </w:rPr>
              <w:t>10</w:t>
            </w:r>
            <w:r>
              <w:rPr>
                <w:sz w:val="20"/>
              </w:rPr>
              <w:t>/PM</w:t>
            </w:r>
            <w:r>
              <w:rPr>
                <w:sz w:val="20"/>
                <w:vertAlign w:val="subscript"/>
              </w:rPr>
              <w:t>2.5</w:t>
            </w:r>
          </w:p>
        </w:tc>
        <w:tc>
          <w:tcPr>
            <w:tcW w:w="1757" w:type="dxa"/>
            <w:vAlign w:val="center"/>
          </w:tcPr>
          <w:p w:rsidR="00DF3719" w:rsidRDefault="00DF3719" w:rsidP="00DF3719">
            <w:pPr>
              <w:pStyle w:val="BodyText2"/>
              <w:widowControl w:val="0"/>
              <w:numPr>
                <w:ilvl w:val="0"/>
                <w:numId w:val="0"/>
              </w:numPr>
              <w:spacing w:after="0"/>
              <w:jc w:val="center"/>
              <w:rPr>
                <w:sz w:val="20"/>
              </w:rPr>
            </w:pPr>
            <w:r>
              <w:rPr>
                <w:sz w:val="20"/>
              </w:rPr>
              <w:t>0.005 lb/MMBtu</w:t>
            </w:r>
          </w:p>
        </w:tc>
        <w:tc>
          <w:tcPr>
            <w:tcW w:w="2782" w:type="dxa"/>
            <w:vMerge w:val="restart"/>
            <w:tcBorders>
              <w:right w:val="single" w:sz="12" w:space="0" w:color="auto"/>
            </w:tcBorders>
            <w:vAlign w:val="center"/>
          </w:tcPr>
          <w:p w:rsidR="00DF3719" w:rsidRDefault="00DF3719" w:rsidP="00DF3719">
            <w:pPr>
              <w:pStyle w:val="BodyText2"/>
              <w:widowControl w:val="0"/>
              <w:numPr>
                <w:ilvl w:val="0"/>
                <w:numId w:val="0"/>
              </w:numPr>
              <w:spacing w:after="0"/>
              <w:jc w:val="center"/>
              <w:rPr>
                <w:sz w:val="20"/>
              </w:rPr>
            </w:pPr>
            <w:r>
              <w:rPr>
                <w:sz w:val="20"/>
              </w:rPr>
              <w:t>GCP</w:t>
            </w:r>
          </w:p>
        </w:tc>
      </w:tr>
      <w:tr w:rsidR="00DF3719" w:rsidRPr="001B6505" w:rsidTr="0023692D">
        <w:trPr>
          <w:trHeight w:val="288"/>
          <w:jc w:val="center"/>
        </w:trPr>
        <w:tc>
          <w:tcPr>
            <w:tcW w:w="1141" w:type="dxa"/>
            <w:vMerge/>
            <w:tcBorders>
              <w:lef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c>
          <w:tcPr>
            <w:tcW w:w="1128" w:type="dxa"/>
            <w:vMerge/>
            <w:vAlign w:val="center"/>
          </w:tcPr>
          <w:p w:rsidR="00DF3719" w:rsidRDefault="00DF3719" w:rsidP="00262064">
            <w:pPr>
              <w:pStyle w:val="BodyText2"/>
              <w:widowControl w:val="0"/>
              <w:numPr>
                <w:ilvl w:val="0"/>
                <w:numId w:val="0"/>
              </w:numPr>
              <w:spacing w:after="0"/>
              <w:jc w:val="center"/>
              <w:rPr>
                <w:sz w:val="20"/>
              </w:rPr>
            </w:pPr>
          </w:p>
        </w:tc>
        <w:tc>
          <w:tcPr>
            <w:tcW w:w="1842" w:type="dxa"/>
            <w:vMerge/>
            <w:vAlign w:val="center"/>
          </w:tcPr>
          <w:p w:rsidR="00DF3719" w:rsidRDefault="00DF3719" w:rsidP="00262064">
            <w:pPr>
              <w:pStyle w:val="BodyText2"/>
              <w:widowControl w:val="0"/>
              <w:numPr>
                <w:ilvl w:val="0"/>
                <w:numId w:val="0"/>
              </w:numPr>
              <w:spacing w:after="0"/>
              <w:jc w:val="center"/>
              <w:rPr>
                <w:sz w:val="20"/>
              </w:rPr>
            </w:pPr>
          </w:p>
        </w:tc>
        <w:tc>
          <w:tcPr>
            <w:tcW w:w="1487" w:type="dxa"/>
            <w:vAlign w:val="center"/>
          </w:tcPr>
          <w:p w:rsidR="00DF3719" w:rsidRDefault="00DF3719" w:rsidP="00262064">
            <w:pPr>
              <w:pStyle w:val="BodyText2"/>
              <w:widowControl w:val="0"/>
              <w:numPr>
                <w:ilvl w:val="0"/>
                <w:numId w:val="0"/>
              </w:numPr>
              <w:spacing w:after="0"/>
              <w:jc w:val="center"/>
              <w:rPr>
                <w:sz w:val="20"/>
              </w:rPr>
            </w:pPr>
            <w:r>
              <w:rPr>
                <w:sz w:val="20"/>
              </w:rPr>
              <w:t>VOC</w:t>
            </w:r>
          </w:p>
        </w:tc>
        <w:tc>
          <w:tcPr>
            <w:tcW w:w="1757" w:type="dxa"/>
            <w:vAlign w:val="center"/>
          </w:tcPr>
          <w:p w:rsidR="00DF3719" w:rsidRDefault="00DF3719" w:rsidP="00262064">
            <w:pPr>
              <w:pStyle w:val="BodyText2"/>
              <w:widowControl w:val="0"/>
              <w:numPr>
                <w:ilvl w:val="0"/>
                <w:numId w:val="0"/>
              </w:numPr>
              <w:spacing w:after="0"/>
              <w:jc w:val="center"/>
              <w:rPr>
                <w:sz w:val="20"/>
              </w:rPr>
            </w:pPr>
            <w:r>
              <w:rPr>
                <w:sz w:val="20"/>
              </w:rPr>
              <w:t>0.0015 lb/MMBtu</w:t>
            </w:r>
          </w:p>
        </w:tc>
        <w:tc>
          <w:tcPr>
            <w:tcW w:w="2782" w:type="dxa"/>
            <w:vMerge/>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r>
      <w:tr w:rsidR="00DF3719" w:rsidRPr="001B6505" w:rsidTr="0023692D">
        <w:trPr>
          <w:trHeight w:val="70"/>
          <w:jc w:val="center"/>
        </w:trPr>
        <w:tc>
          <w:tcPr>
            <w:tcW w:w="1141" w:type="dxa"/>
            <w:vMerge/>
            <w:tcBorders>
              <w:lef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c>
          <w:tcPr>
            <w:tcW w:w="1128" w:type="dxa"/>
            <w:vMerge/>
            <w:vAlign w:val="center"/>
          </w:tcPr>
          <w:p w:rsidR="00DF3719" w:rsidRDefault="00DF3719" w:rsidP="00262064">
            <w:pPr>
              <w:pStyle w:val="BodyText2"/>
              <w:widowControl w:val="0"/>
              <w:numPr>
                <w:ilvl w:val="0"/>
                <w:numId w:val="0"/>
              </w:numPr>
              <w:spacing w:after="0"/>
              <w:jc w:val="center"/>
              <w:rPr>
                <w:sz w:val="20"/>
              </w:rPr>
            </w:pPr>
          </w:p>
        </w:tc>
        <w:tc>
          <w:tcPr>
            <w:tcW w:w="1842" w:type="dxa"/>
            <w:vMerge/>
            <w:vAlign w:val="center"/>
          </w:tcPr>
          <w:p w:rsidR="00DF3719" w:rsidRDefault="00DF3719" w:rsidP="00262064">
            <w:pPr>
              <w:pStyle w:val="BodyText2"/>
              <w:widowControl w:val="0"/>
              <w:numPr>
                <w:ilvl w:val="0"/>
                <w:numId w:val="0"/>
              </w:numPr>
              <w:spacing w:after="0"/>
              <w:jc w:val="center"/>
              <w:rPr>
                <w:sz w:val="20"/>
              </w:rPr>
            </w:pPr>
          </w:p>
        </w:tc>
        <w:tc>
          <w:tcPr>
            <w:tcW w:w="1487" w:type="dxa"/>
            <w:vAlign w:val="center"/>
          </w:tcPr>
          <w:p w:rsidR="00DF3719" w:rsidRDefault="00DF3719" w:rsidP="00262064">
            <w:pPr>
              <w:pStyle w:val="BodyText2"/>
              <w:widowControl w:val="0"/>
              <w:numPr>
                <w:ilvl w:val="0"/>
                <w:numId w:val="0"/>
              </w:numPr>
              <w:spacing w:after="0"/>
              <w:jc w:val="center"/>
              <w:rPr>
                <w:sz w:val="20"/>
              </w:rPr>
            </w:pPr>
            <w:r>
              <w:rPr>
                <w:sz w:val="20"/>
              </w:rPr>
              <w:t xml:space="preserve">GHG </w:t>
            </w:r>
            <w:r w:rsidRPr="00261298">
              <w:rPr>
                <w:b/>
                <w:sz w:val="24"/>
                <w:szCs w:val="24"/>
                <w:vertAlign w:val="superscript"/>
              </w:rPr>
              <w:fldChar w:fldCharType="begin"/>
            </w:r>
            <w:r w:rsidRPr="00261298">
              <w:rPr>
                <w:sz w:val="20"/>
                <w:vertAlign w:val="superscript"/>
              </w:rPr>
              <w:instrText xml:space="preserve"> REF _Ref511137044 \r \h </w:instrText>
            </w:r>
            <w:r w:rsidRPr="00261298">
              <w:rPr>
                <w:b/>
                <w:sz w:val="24"/>
                <w:szCs w:val="24"/>
                <w:vertAlign w:val="superscript"/>
              </w:rPr>
              <w:instrText xml:space="preserve"> \* MERGEFORMAT </w:instrText>
            </w:r>
            <w:r w:rsidRPr="00261298">
              <w:rPr>
                <w:b/>
                <w:sz w:val="24"/>
                <w:szCs w:val="24"/>
                <w:vertAlign w:val="superscript"/>
              </w:rPr>
            </w:r>
            <w:r w:rsidRPr="00261298">
              <w:rPr>
                <w:b/>
                <w:sz w:val="24"/>
                <w:szCs w:val="24"/>
                <w:vertAlign w:val="superscript"/>
              </w:rPr>
              <w:fldChar w:fldCharType="separate"/>
            </w:r>
            <w:r>
              <w:rPr>
                <w:sz w:val="20"/>
                <w:vertAlign w:val="superscript"/>
              </w:rPr>
              <w:t>b</w:t>
            </w:r>
            <w:r w:rsidRPr="00261298">
              <w:rPr>
                <w:b/>
                <w:sz w:val="24"/>
                <w:szCs w:val="24"/>
                <w:vertAlign w:val="superscript"/>
              </w:rPr>
              <w:fldChar w:fldCharType="end"/>
            </w:r>
          </w:p>
        </w:tc>
        <w:tc>
          <w:tcPr>
            <w:tcW w:w="1757" w:type="dxa"/>
            <w:vAlign w:val="center"/>
          </w:tcPr>
          <w:p w:rsidR="00DF3719" w:rsidRDefault="00DF3719" w:rsidP="00262064">
            <w:pPr>
              <w:pStyle w:val="BodyText2"/>
              <w:widowControl w:val="0"/>
              <w:numPr>
                <w:ilvl w:val="0"/>
                <w:numId w:val="0"/>
              </w:numPr>
              <w:spacing w:after="0"/>
              <w:jc w:val="center"/>
              <w:rPr>
                <w:sz w:val="20"/>
              </w:rPr>
            </w:pPr>
            <w:r>
              <w:rPr>
                <w:sz w:val="20"/>
              </w:rPr>
              <w:t>67 lb/MMBtu</w:t>
            </w:r>
          </w:p>
        </w:tc>
        <w:tc>
          <w:tcPr>
            <w:tcW w:w="2782" w:type="dxa"/>
            <w:vMerge/>
            <w:tcBorders>
              <w:right w:val="single" w:sz="12" w:space="0" w:color="auto"/>
            </w:tcBorders>
            <w:vAlign w:val="center"/>
          </w:tcPr>
          <w:p w:rsidR="00DF3719" w:rsidRDefault="00DF3719" w:rsidP="00262064">
            <w:pPr>
              <w:pStyle w:val="BodyText2"/>
              <w:widowControl w:val="0"/>
              <w:numPr>
                <w:ilvl w:val="0"/>
                <w:numId w:val="0"/>
              </w:numPr>
              <w:spacing w:after="0"/>
              <w:jc w:val="center"/>
              <w:rPr>
                <w:sz w:val="20"/>
              </w:rPr>
            </w:pPr>
          </w:p>
        </w:tc>
      </w:tr>
      <w:tr w:rsidR="00762FA0" w:rsidRPr="001B6505" w:rsidTr="0023692D">
        <w:trPr>
          <w:trHeight w:val="1212"/>
          <w:jc w:val="center"/>
        </w:trPr>
        <w:tc>
          <w:tcPr>
            <w:tcW w:w="10137" w:type="dxa"/>
            <w:gridSpan w:val="6"/>
            <w:tcBorders>
              <w:top w:val="single" w:sz="12" w:space="0" w:color="auto"/>
              <w:left w:val="single" w:sz="12" w:space="0" w:color="auto"/>
              <w:bottom w:val="single" w:sz="12" w:space="0" w:color="auto"/>
              <w:right w:val="single" w:sz="12" w:space="0" w:color="auto"/>
            </w:tcBorders>
            <w:vAlign w:val="center"/>
          </w:tcPr>
          <w:p w:rsidR="00762FA0" w:rsidRPr="00226886" w:rsidRDefault="00762FA0" w:rsidP="005C1A65">
            <w:pPr>
              <w:pStyle w:val="BodyText2"/>
              <w:widowControl w:val="0"/>
              <w:numPr>
                <w:ilvl w:val="0"/>
                <w:numId w:val="29"/>
              </w:numPr>
              <w:spacing w:after="0"/>
              <w:jc w:val="left"/>
              <w:rPr>
                <w:sz w:val="18"/>
              </w:rPr>
            </w:pPr>
            <w:bookmarkStart w:id="59" w:name="_Ref511136972"/>
            <w:r w:rsidRPr="00226886">
              <w:rPr>
                <w:sz w:val="18"/>
              </w:rPr>
              <w:t>This boiler is limited to 2,000 hours of operation per rolling 12-months.</w:t>
            </w:r>
            <w:bookmarkEnd w:id="59"/>
          </w:p>
          <w:p w:rsidR="00762FA0" w:rsidRPr="00226886" w:rsidRDefault="00762FA0" w:rsidP="005C1A65">
            <w:pPr>
              <w:pStyle w:val="BodyText2"/>
              <w:widowControl w:val="0"/>
              <w:numPr>
                <w:ilvl w:val="0"/>
                <w:numId w:val="29"/>
              </w:numPr>
              <w:spacing w:after="0"/>
              <w:jc w:val="left"/>
              <w:rPr>
                <w:sz w:val="18"/>
              </w:rPr>
            </w:pPr>
            <w:bookmarkStart w:id="60" w:name="_Ref511137044"/>
            <w:r w:rsidRPr="00226886">
              <w:rPr>
                <w:sz w:val="18"/>
              </w:rPr>
              <w:t>GHG limits are in terms of carbon dioxide equivalent (CO</w:t>
            </w:r>
            <w:r w:rsidRPr="00226886">
              <w:rPr>
                <w:sz w:val="18"/>
                <w:vertAlign w:val="subscript"/>
              </w:rPr>
              <w:t>2</w:t>
            </w:r>
            <w:r w:rsidRPr="00226886">
              <w:rPr>
                <w:sz w:val="18"/>
              </w:rPr>
              <w:t>e).</w:t>
            </w:r>
            <w:bookmarkEnd w:id="60"/>
          </w:p>
          <w:p w:rsidR="00762FA0" w:rsidRPr="00226886" w:rsidRDefault="00762FA0" w:rsidP="005C1A65">
            <w:pPr>
              <w:pStyle w:val="BodyText2"/>
              <w:widowControl w:val="0"/>
              <w:numPr>
                <w:ilvl w:val="0"/>
                <w:numId w:val="29"/>
              </w:numPr>
              <w:spacing w:after="0"/>
              <w:jc w:val="left"/>
              <w:rPr>
                <w:sz w:val="18"/>
              </w:rPr>
            </w:pPr>
            <w:bookmarkStart w:id="61" w:name="_Ref511137456"/>
            <w:r w:rsidRPr="00226886">
              <w:rPr>
                <w:sz w:val="18"/>
              </w:rPr>
              <w:t>These boilers are limited to 4,600 hours of operation each per year.</w:t>
            </w:r>
            <w:bookmarkEnd w:id="61"/>
          </w:p>
          <w:p w:rsidR="00762FA0" w:rsidRPr="00226886" w:rsidRDefault="00762FA0" w:rsidP="005C1A65">
            <w:pPr>
              <w:pStyle w:val="BodyText2"/>
              <w:widowControl w:val="0"/>
              <w:numPr>
                <w:ilvl w:val="0"/>
                <w:numId w:val="29"/>
              </w:numPr>
              <w:spacing w:after="0"/>
              <w:jc w:val="left"/>
              <w:rPr>
                <w:sz w:val="18"/>
              </w:rPr>
            </w:pPr>
            <w:bookmarkStart w:id="62" w:name="_Ref511137459"/>
            <w:r w:rsidRPr="00226886">
              <w:rPr>
                <w:sz w:val="18"/>
              </w:rPr>
              <w:t>Each limit is per boiler.</w:t>
            </w:r>
            <w:bookmarkEnd w:id="62"/>
          </w:p>
          <w:p w:rsidR="00762FA0" w:rsidRPr="002510B3" w:rsidRDefault="00762FA0" w:rsidP="005C1A65">
            <w:pPr>
              <w:pStyle w:val="BodyText2"/>
              <w:widowControl w:val="0"/>
              <w:numPr>
                <w:ilvl w:val="0"/>
                <w:numId w:val="29"/>
              </w:numPr>
              <w:spacing w:after="0"/>
              <w:jc w:val="left"/>
              <w:rPr>
                <w:sz w:val="20"/>
              </w:rPr>
            </w:pPr>
            <w:bookmarkStart w:id="63" w:name="_Ref511137369"/>
            <w:r w:rsidRPr="00226886">
              <w:rPr>
                <w:sz w:val="18"/>
              </w:rPr>
              <w:t>This project was not subject to PSD review for NO</w:t>
            </w:r>
            <w:r w:rsidRPr="00226886">
              <w:rPr>
                <w:sz w:val="18"/>
                <w:vertAlign w:val="subscript"/>
              </w:rPr>
              <w:t>X</w:t>
            </w:r>
            <w:r w:rsidRPr="00226886">
              <w:rPr>
                <w:sz w:val="18"/>
              </w:rPr>
              <w:t>, and the limit was imposed at the applicant’s request, i.e. the limit does not constitute BACT.  However, the requested limit is consistent with BACT determinations for similar projects.</w:t>
            </w:r>
            <w:bookmarkEnd w:id="63"/>
          </w:p>
        </w:tc>
      </w:tr>
    </w:tbl>
    <w:p w:rsidR="008D0F62" w:rsidRDefault="00AE572C" w:rsidP="008D0F62">
      <w:pPr>
        <w:widowControl w:val="0"/>
        <w:spacing w:before="120" w:after="120"/>
        <w:rPr>
          <w:sz w:val="22"/>
          <w:szCs w:val="22"/>
        </w:rPr>
      </w:pPr>
      <w:r w:rsidRPr="008D0F62">
        <w:rPr>
          <w:sz w:val="22"/>
          <w:szCs w:val="22"/>
        </w:rPr>
        <w:t>The Department’s draft determination of BACT for CO for this unit includes the use of GCPs and LNBs, and a limit of 0.08 lb per MMBtu.</w:t>
      </w:r>
      <w:r>
        <w:rPr>
          <w:sz w:val="22"/>
          <w:szCs w:val="22"/>
        </w:rPr>
        <w:t xml:space="preserve">  </w:t>
      </w:r>
      <w:r w:rsidR="008D0F62" w:rsidRPr="008D0F62">
        <w:rPr>
          <w:sz w:val="22"/>
          <w:szCs w:val="22"/>
        </w:rPr>
        <w:t>Operators will be required to follow the manufacturer’s recommended procedures for tuning and startup/shut</w:t>
      </w:r>
      <w:r w:rsidR="0096359D">
        <w:rPr>
          <w:sz w:val="22"/>
          <w:szCs w:val="22"/>
        </w:rPr>
        <w:t xml:space="preserve">down operations of the boiler. </w:t>
      </w:r>
      <w:r w:rsidR="008D0F62" w:rsidRPr="008D0F62">
        <w:rPr>
          <w:sz w:val="22"/>
          <w:szCs w:val="22"/>
        </w:rPr>
        <w:t xml:space="preserve"> Compliance will be demonstrated through an initial stack test and subsequent stack tests before each Title V operation permit renewal.  </w:t>
      </w:r>
      <w:r>
        <w:rPr>
          <w:sz w:val="22"/>
          <w:szCs w:val="22"/>
        </w:rPr>
        <w:t>To be consistent with previous BACT determinations, the Department accepts the proposed NO</w:t>
      </w:r>
      <w:r w:rsidRPr="00AE572C">
        <w:rPr>
          <w:sz w:val="22"/>
          <w:szCs w:val="22"/>
          <w:vertAlign w:val="subscript"/>
        </w:rPr>
        <w:t>X</w:t>
      </w:r>
      <w:r>
        <w:rPr>
          <w:sz w:val="22"/>
          <w:szCs w:val="22"/>
        </w:rPr>
        <w:t xml:space="preserve"> limit of </w:t>
      </w:r>
      <w:r w:rsidRPr="00AE572C">
        <w:rPr>
          <w:sz w:val="22"/>
          <w:szCs w:val="22"/>
        </w:rPr>
        <w:t>0.05 lb/MMBtu</w:t>
      </w:r>
      <w:r>
        <w:rPr>
          <w:sz w:val="22"/>
          <w:szCs w:val="22"/>
        </w:rPr>
        <w:t xml:space="preserve">. </w:t>
      </w:r>
      <w:r w:rsidRPr="00AE572C">
        <w:rPr>
          <w:sz w:val="22"/>
          <w:szCs w:val="22"/>
        </w:rPr>
        <w:t xml:space="preserve"> </w:t>
      </w:r>
      <w:r w:rsidR="008D0F62" w:rsidRPr="008D0F62">
        <w:rPr>
          <w:sz w:val="22"/>
          <w:szCs w:val="22"/>
        </w:rPr>
        <w:t xml:space="preserve">During startups and shutdowns, the use of natural gas, GCPs, and LNBs provide a meaningful limitation on CO </w:t>
      </w:r>
      <w:r w:rsidR="003C0A32">
        <w:rPr>
          <w:sz w:val="22"/>
          <w:szCs w:val="22"/>
        </w:rPr>
        <w:t>and NO</w:t>
      </w:r>
      <w:r w:rsidR="003C0A32" w:rsidRPr="003C0A32">
        <w:rPr>
          <w:sz w:val="22"/>
          <w:szCs w:val="22"/>
          <w:vertAlign w:val="subscript"/>
        </w:rPr>
        <w:t>X</w:t>
      </w:r>
      <w:r w:rsidR="003C0A32">
        <w:rPr>
          <w:sz w:val="22"/>
          <w:szCs w:val="22"/>
        </w:rPr>
        <w:t xml:space="preserve"> </w:t>
      </w:r>
      <w:r w:rsidR="008D0F62" w:rsidRPr="008D0F62">
        <w:rPr>
          <w:sz w:val="22"/>
          <w:szCs w:val="22"/>
        </w:rPr>
        <w:t>emissions.</w:t>
      </w:r>
      <w:r w:rsidR="0087007E">
        <w:rPr>
          <w:sz w:val="22"/>
          <w:szCs w:val="22"/>
        </w:rPr>
        <w:t xml:space="preserve">  Emissions of PM, SO</w:t>
      </w:r>
      <w:r w:rsidR="0087007E" w:rsidRPr="00833FF5">
        <w:rPr>
          <w:sz w:val="22"/>
          <w:szCs w:val="22"/>
          <w:vertAlign w:val="subscript"/>
        </w:rPr>
        <w:t>2</w:t>
      </w:r>
      <w:r w:rsidR="0087007E">
        <w:rPr>
          <w:sz w:val="22"/>
          <w:szCs w:val="22"/>
        </w:rPr>
        <w:t xml:space="preserve"> and SAM shall be</w:t>
      </w:r>
      <w:r w:rsidR="00833FF5">
        <w:rPr>
          <w:sz w:val="22"/>
          <w:szCs w:val="22"/>
        </w:rPr>
        <w:t xml:space="preserve"> limited through the use of natural gas with a sulfur content of </w:t>
      </w:r>
      <w:r w:rsidR="00833FF5" w:rsidRPr="00833FF5">
        <w:rPr>
          <w:sz w:val="22"/>
          <w:szCs w:val="22"/>
        </w:rPr>
        <w:t>2</w:t>
      </w:r>
      <w:r w:rsidR="0064614E">
        <w:rPr>
          <w:sz w:val="22"/>
          <w:szCs w:val="22"/>
        </w:rPr>
        <w:t>.0</w:t>
      </w:r>
      <w:r w:rsidR="00EC4F68">
        <w:rPr>
          <w:sz w:val="22"/>
          <w:szCs w:val="22"/>
        </w:rPr>
        <w:t xml:space="preserve"> gr</w:t>
      </w:r>
      <w:r w:rsidR="00833FF5" w:rsidRPr="00833FF5">
        <w:rPr>
          <w:sz w:val="22"/>
          <w:szCs w:val="22"/>
        </w:rPr>
        <w:t xml:space="preserve"> S/100 scf natural gas</w:t>
      </w:r>
      <w:r w:rsidR="00833FF5">
        <w:rPr>
          <w:sz w:val="22"/>
          <w:szCs w:val="22"/>
        </w:rPr>
        <w:t>.  The Department also imposes an operational restriction of 2,000 hours per year to minimize emissions of GHG.</w:t>
      </w:r>
    </w:p>
    <w:p w:rsidR="00833FF5" w:rsidRPr="008D0F62" w:rsidRDefault="0005797A" w:rsidP="008D0F62">
      <w:pPr>
        <w:widowControl w:val="0"/>
        <w:spacing w:before="120" w:after="120"/>
        <w:rPr>
          <w:sz w:val="22"/>
          <w:szCs w:val="22"/>
        </w:rPr>
      </w:pPr>
      <w:r>
        <w:rPr>
          <w:sz w:val="22"/>
          <w:szCs w:val="22"/>
        </w:rPr>
        <w:t>As a new f</w:t>
      </w:r>
      <w:r w:rsidRPr="0005797A">
        <w:rPr>
          <w:sz w:val="22"/>
          <w:szCs w:val="22"/>
        </w:rPr>
        <w:t xml:space="preserve">ossil </w:t>
      </w:r>
      <w:r>
        <w:rPr>
          <w:sz w:val="22"/>
          <w:szCs w:val="22"/>
        </w:rPr>
        <w:t>fuel s</w:t>
      </w:r>
      <w:r w:rsidRPr="0005797A">
        <w:rPr>
          <w:sz w:val="22"/>
          <w:szCs w:val="22"/>
        </w:rPr>
        <w:t xml:space="preserve">team </w:t>
      </w:r>
      <w:r>
        <w:rPr>
          <w:sz w:val="22"/>
          <w:szCs w:val="22"/>
        </w:rPr>
        <w:t>g</w:t>
      </w:r>
      <w:r w:rsidRPr="0005797A">
        <w:rPr>
          <w:sz w:val="22"/>
          <w:szCs w:val="22"/>
        </w:rPr>
        <w:t xml:space="preserve">enerator with </w:t>
      </w:r>
      <w:r>
        <w:rPr>
          <w:sz w:val="22"/>
          <w:szCs w:val="22"/>
        </w:rPr>
        <w:t>less t</w:t>
      </w:r>
      <w:r w:rsidRPr="0005797A">
        <w:rPr>
          <w:sz w:val="22"/>
          <w:szCs w:val="22"/>
        </w:rPr>
        <w:t xml:space="preserve">han 250 </w:t>
      </w:r>
      <w:r>
        <w:rPr>
          <w:sz w:val="22"/>
          <w:szCs w:val="22"/>
        </w:rPr>
        <w:t xml:space="preserve">MMBtu/hour, the </w:t>
      </w:r>
      <w:r w:rsidR="00A80CFC">
        <w:rPr>
          <w:sz w:val="22"/>
          <w:szCs w:val="22"/>
        </w:rPr>
        <w:t xml:space="preserve">auxiliary </w:t>
      </w:r>
      <w:r>
        <w:rPr>
          <w:sz w:val="22"/>
          <w:szCs w:val="22"/>
        </w:rPr>
        <w:t>boiler is als</w:t>
      </w:r>
      <w:r w:rsidR="00E05EC4">
        <w:rPr>
          <w:sz w:val="22"/>
          <w:szCs w:val="22"/>
        </w:rPr>
        <w:t xml:space="preserve">o subject to Rule </w:t>
      </w:r>
      <w:r w:rsidRPr="0005797A">
        <w:rPr>
          <w:sz w:val="22"/>
          <w:szCs w:val="22"/>
        </w:rPr>
        <w:t>62-296.406</w:t>
      </w:r>
      <w:r>
        <w:rPr>
          <w:sz w:val="22"/>
          <w:szCs w:val="22"/>
        </w:rPr>
        <w:t>, F.A.C.,</w:t>
      </w:r>
      <w:r w:rsidRPr="0005797A">
        <w:rPr>
          <w:sz w:val="22"/>
          <w:szCs w:val="22"/>
        </w:rPr>
        <w:t xml:space="preserve"> </w:t>
      </w:r>
      <w:r w:rsidR="00A80CFC">
        <w:rPr>
          <w:sz w:val="22"/>
          <w:szCs w:val="22"/>
        </w:rPr>
        <w:t>which requires BACT for PM and SO</w:t>
      </w:r>
      <w:r w:rsidR="00A80CFC" w:rsidRPr="00A80CFC">
        <w:rPr>
          <w:sz w:val="22"/>
          <w:szCs w:val="22"/>
          <w:vertAlign w:val="subscript"/>
        </w:rPr>
        <w:t>2</w:t>
      </w:r>
      <w:r w:rsidR="00A80CFC">
        <w:rPr>
          <w:sz w:val="22"/>
          <w:szCs w:val="22"/>
        </w:rPr>
        <w:t xml:space="preserve"> and</w:t>
      </w:r>
      <w:r>
        <w:rPr>
          <w:sz w:val="22"/>
          <w:szCs w:val="22"/>
        </w:rPr>
        <w:t xml:space="preserve"> imposes an opacity standard of 20%</w:t>
      </w:r>
      <w:r w:rsidRPr="0005797A">
        <w:t xml:space="preserve"> </w:t>
      </w:r>
      <w:r w:rsidRPr="0005797A">
        <w:rPr>
          <w:sz w:val="22"/>
          <w:szCs w:val="22"/>
        </w:rPr>
        <w:t xml:space="preserve">except for one </w:t>
      </w:r>
      <w:r w:rsidR="008356D9">
        <w:rPr>
          <w:sz w:val="22"/>
          <w:szCs w:val="22"/>
        </w:rPr>
        <w:t>6</w:t>
      </w:r>
      <w:r w:rsidRPr="0005797A">
        <w:rPr>
          <w:sz w:val="22"/>
          <w:szCs w:val="22"/>
        </w:rPr>
        <w:t xml:space="preserve">-minute period per </w:t>
      </w:r>
      <w:r w:rsidR="008356D9">
        <w:rPr>
          <w:sz w:val="22"/>
          <w:szCs w:val="22"/>
        </w:rPr>
        <w:t>1</w:t>
      </w:r>
      <w:r w:rsidRPr="0005797A">
        <w:rPr>
          <w:sz w:val="22"/>
          <w:szCs w:val="22"/>
        </w:rPr>
        <w:t>-hour period during wh</w:t>
      </w:r>
      <w:r>
        <w:rPr>
          <w:sz w:val="22"/>
          <w:szCs w:val="22"/>
        </w:rPr>
        <w:t>ich opacity shall not exceed 27%.</w:t>
      </w:r>
      <w:r w:rsidR="00A80CFC">
        <w:rPr>
          <w:sz w:val="22"/>
          <w:szCs w:val="22"/>
        </w:rPr>
        <w:t xml:space="preserve">  </w:t>
      </w:r>
      <w:r w:rsidR="004C5EE8">
        <w:rPr>
          <w:sz w:val="22"/>
          <w:szCs w:val="22"/>
        </w:rPr>
        <w:t xml:space="preserve">Compliance with the opacity standard </w:t>
      </w:r>
      <w:r w:rsidR="004C5EE8" w:rsidRPr="004C5EE8">
        <w:rPr>
          <w:sz w:val="22"/>
          <w:szCs w:val="22"/>
        </w:rPr>
        <w:t>will be demonstrated through an annual test for visible emissions.</w:t>
      </w:r>
      <w:r w:rsidR="004C5EE8">
        <w:rPr>
          <w:sz w:val="22"/>
          <w:szCs w:val="22"/>
        </w:rPr>
        <w:t xml:space="preserve">  </w:t>
      </w:r>
      <w:r w:rsidR="00833FF5">
        <w:rPr>
          <w:sz w:val="22"/>
          <w:szCs w:val="22"/>
        </w:rPr>
        <w:t xml:space="preserve">The auxiliary boiler shall also meet all of the </w:t>
      </w:r>
      <w:r w:rsidR="00833FF5" w:rsidRPr="00833FF5">
        <w:rPr>
          <w:sz w:val="22"/>
          <w:szCs w:val="22"/>
        </w:rPr>
        <w:t>applicable requirements of 40 CFR 60, Subpart Dc which applies to Small Industrial, Commercial, or Institutional Boilers</w:t>
      </w:r>
      <w:r w:rsidR="00833FF5">
        <w:rPr>
          <w:sz w:val="22"/>
          <w:szCs w:val="22"/>
        </w:rPr>
        <w:t>.</w:t>
      </w:r>
      <w:r>
        <w:rPr>
          <w:sz w:val="22"/>
          <w:szCs w:val="22"/>
        </w:rPr>
        <w:t xml:space="preserve">  </w:t>
      </w:r>
      <w:r w:rsidR="00F63FC7">
        <w:rPr>
          <w:sz w:val="22"/>
          <w:szCs w:val="22"/>
        </w:rPr>
        <w:t>Since the boiler will only fire natural gas,</w:t>
      </w:r>
      <w:r w:rsidRPr="0005797A">
        <w:rPr>
          <w:sz w:val="22"/>
          <w:szCs w:val="22"/>
        </w:rPr>
        <w:t xml:space="preserve"> the emissions unit shall </w:t>
      </w:r>
      <w:r w:rsidR="008356D9">
        <w:rPr>
          <w:sz w:val="22"/>
          <w:szCs w:val="22"/>
        </w:rPr>
        <w:t>s</w:t>
      </w:r>
      <w:r w:rsidR="008356D9" w:rsidRPr="0005797A">
        <w:rPr>
          <w:sz w:val="22"/>
          <w:szCs w:val="22"/>
        </w:rPr>
        <w:t xml:space="preserve">pecifically </w:t>
      </w:r>
      <w:r w:rsidRPr="0005797A">
        <w:rPr>
          <w:sz w:val="22"/>
          <w:szCs w:val="22"/>
        </w:rPr>
        <w:t xml:space="preserve">comply with </w:t>
      </w:r>
      <w:r w:rsidR="00F63FC7">
        <w:rPr>
          <w:sz w:val="22"/>
          <w:szCs w:val="22"/>
        </w:rPr>
        <w:t>the r</w:t>
      </w:r>
      <w:r w:rsidRPr="0005797A">
        <w:rPr>
          <w:sz w:val="22"/>
          <w:szCs w:val="22"/>
        </w:rPr>
        <w:t xml:space="preserve">eporting and </w:t>
      </w:r>
      <w:r w:rsidR="00F63FC7">
        <w:rPr>
          <w:sz w:val="22"/>
          <w:szCs w:val="22"/>
        </w:rPr>
        <w:t>r</w:t>
      </w:r>
      <w:r w:rsidRPr="0005797A">
        <w:rPr>
          <w:sz w:val="22"/>
          <w:szCs w:val="22"/>
        </w:rPr>
        <w:t xml:space="preserve">ecordkeeping </w:t>
      </w:r>
      <w:r w:rsidR="00F63FC7">
        <w:rPr>
          <w:sz w:val="22"/>
          <w:szCs w:val="22"/>
        </w:rPr>
        <w:t>r</w:t>
      </w:r>
      <w:r w:rsidRPr="0005797A">
        <w:rPr>
          <w:sz w:val="22"/>
          <w:szCs w:val="22"/>
        </w:rPr>
        <w:t>equirements</w:t>
      </w:r>
      <w:r w:rsidR="00F63FC7">
        <w:rPr>
          <w:sz w:val="22"/>
          <w:szCs w:val="22"/>
        </w:rPr>
        <w:t xml:space="preserve"> outlined in </w:t>
      </w:r>
      <w:r w:rsidR="00F63FC7" w:rsidRPr="0005797A">
        <w:rPr>
          <w:sz w:val="22"/>
          <w:szCs w:val="22"/>
        </w:rPr>
        <w:t>40 CFR 60.48c</w:t>
      </w:r>
      <w:r w:rsidR="00B77649">
        <w:rPr>
          <w:sz w:val="22"/>
          <w:szCs w:val="22"/>
        </w:rPr>
        <w:t>.</w:t>
      </w:r>
    </w:p>
    <w:p w:rsidR="00190881" w:rsidRPr="002F1387" w:rsidRDefault="003B2442" w:rsidP="002F1387">
      <w:pPr>
        <w:pStyle w:val="ListParagraph"/>
        <w:widowControl w:val="0"/>
        <w:numPr>
          <w:ilvl w:val="1"/>
          <w:numId w:val="3"/>
        </w:numPr>
        <w:spacing w:after="120"/>
        <w:ind w:left="720" w:hanging="720"/>
        <w:contextualSpacing w:val="0"/>
        <w:rPr>
          <w:b/>
          <w:caps/>
          <w:sz w:val="22"/>
          <w:szCs w:val="22"/>
        </w:rPr>
      </w:pPr>
      <w:r>
        <w:rPr>
          <w:b/>
          <w:sz w:val="22"/>
          <w:szCs w:val="22"/>
        </w:rPr>
        <w:t>Emergency Diesel Generator (EU</w:t>
      </w:r>
      <w:r w:rsidR="003C416C">
        <w:rPr>
          <w:b/>
          <w:sz w:val="22"/>
          <w:szCs w:val="22"/>
        </w:rPr>
        <w:t xml:space="preserve"> 003</w:t>
      </w:r>
      <w:r>
        <w:rPr>
          <w:b/>
          <w:sz w:val="22"/>
          <w:szCs w:val="22"/>
        </w:rPr>
        <w:t>) &amp; Fire Pump (EU</w:t>
      </w:r>
      <w:r w:rsidR="003C416C">
        <w:rPr>
          <w:b/>
          <w:sz w:val="22"/>
          <w:szCs w:val="22"/>
        </w:rPr>
        <w:t xml:space="preserve"> 004</w:t>
      </w:r>
      <w:r>
        <w:rPr>
          <w:b/>
          <w:sz w:val="22"/>
          <w:szCs w:val="22"/>
        </w:rPr>
        <w:t>)</w:t>
      </w:r>
    </w:p>
    <w:p w:rsidR="00242365" w:rsidRPr="00242365" w:rsidRDefault="00E54DCA" w:rsidP="00E54DCA">
      <w:pPr>
        <w:widowControl w:val="0"/>
        <w:spacing w:after="120"/>
        <w:rPr>
          <w:sz w:val="22"/>
          <w:szCs w:val="22"/>
        </w:rPr>
      </w:pPr>
      <w:r w:rsidRPr="00E54DCA">
        <w:rPr>
          <w:sz w:val="22"/>
          <w:szCs w:val="22"/>
        </w:rPr>
        <w:t xml:space="preserve">The </w:t>
      </w:r>
      <w:r w:rsidR="001338C8">
        <w:rPr>
          <w:sz w:val="22"/>
          <w:szCs w:val="22"/>
        </w:rPr>
        <w:t>SHCCF</w:t>
      </w:r>
      <w:r w:rsidRPr="00E54DCA">
        <w:rPr>
          <w:sz w:val="22"/>
          <w:szCs w:val="22"/>
        </w:rPr>
        <w:t xml:space="preserve"> will be equipped with a diesel-fired 1,500 kW (kW-electric) emergency generator to support the</w:t>
      </w:r>
      <w:r>
        <w:rPr>
          <w:sz w:val="22"/>
          <w:szCs w:val="22"/>
        </w:rPr>
        <w:t xml:space="preserve"> </w:t>
      </w:r>
      <w:r w:rsidRPr="00E54DCA">
        <w:rPr>
          <w:sz w:val="22"/>
          <w:szCs w:val="22"/>
        </w:rPr>
        <w:t xml:space="preserve">plant. </w:t>
      </w:r>
      <w:r w:rsidR="00D6286E">
        <w:rPr>
          <w:sz w:val="22"/>
          <w:szCs w:val="22"/>
        </w:rPr>
        <w:t xml:space="preserve"> </w:t>
      </w:r>
      <w:r w:rsidRPr="00E54DCA">
        <w:rPr>
          <w:sz w:val="22"/>
          <w:szCs w:val="22"/>
        </w:rPr>
        <w:t>The emergency generator will be used to provide electrical power during an emergency situation</w:t>
      </w:r>
      <w:r>
        <w:rPr>
          <w:sz w:val="22"/>
          <w:szCs w:val="22"/>
        </w:rPr>
        <w:t xml:space="preserve"> </w:t>
      </w:r>
      <w:r w:rsidRPr="00E54DCA">
        <w:rPr>
          <w:sz w:val="22"/>
          <w:szCs w:val="22"/>
        </w:rPr>
        <w:t xml:space="preserve">when electric power from the grid is interrupted or to ensure </w:t>
      </w:r>
      <w:r w:rsidR="00B2526A">
        <w:rPr>
          <w:sz w:val="22"/>
          <w:szCs w:val="22"/>
        </w:rPr>
        <w:t>a safe shutdown of</w:t>
      </w:r>
      <w:r w:rsidRPr="00E54DCA">
        <w:rPr>
          <w:sz w:val="22"/>
          <w:szCs w:val="22"/>
        </w:rPr>
        <w:t xml:space="preserve"> </w:t>
      </w:r>
      <w:r w:rsidR="00D46EB1">
        <w:rPr>
          <w:sz w:val="22"/>
          <w:szCs w:val="22"/>
        </w:rPr>
        <w:t>the</w:t>
      </w:r>
      <w:r w:rsidRPr="00E54DCA">
        <w:rPr>
          <w:sz w:val="22"/>
          <w:szCs w:val="22"/>
        </w:rPr>
        <w:t xml:space="preserve"> CTG</w:t>
      </w:r>
      <w:r w:rsidR="009C1E89">
        <w:rPr>
          <w:sz w:val="22"/>
          <w:szCs w:val="22"/>
        </w:rPr>
        <w:t>.  In addition, the emergency generator will be operated</w:t>
      </w:r>
      <w:r w:rsidRPr="00E54DCA">
        <w:rPr>
          <w:sz w:val="22"/>
          <w:szCs w:val="22"/>
        </w:rPr>
        <w:t xml:space="preserve"> for maintenance</w:t>
      </w:r>
      <w:r>
        <w:rPr>
          <w:sz w:val="22"/>
          <w:szCs w:val="22"/>
        </w:rPr>
        <w:t xml:space="preserve"> </w:t>
      </w:r>
      <w:r w:rsidRPr="00E54DCA">
        <w:rPr>
          <w:sz w:val="22"/>
          <w:szCs w:val="22"/>
        </w:rPr>
        <w:t>checks and readiness testing.</w:t>
      </w:r>
      <w:r w:rsidR="001338C8">
        <w:rPr>
          <w:sz w:val="22"/>
          <w:szCs w:val="22"/>
        </w:rPr>
        <w:t xml:space="preserve"> </w:t>
      </w:r>
      <w:r w:rsidRPr="00E54DCA">
        <w:rPr>
          <w:sz w:val="22"/>
          <w:szCs w:val="22"/>
        </w:rPr>
        <w:t xml:space="preserve"> A 347 brake-horsepower (BHP) diesel-fired fire pump engine will also be</w:t>
      </w:r>
      <w:r>
        <w:rPr>
          <w:sz w:val="22"/>
          <w:szCs w:val="22"/>
        </w:rPr>
        <w:t xml:space="preserve"> </w:t>
      </w:r>
      <w:r w:rsidRPr="00E54DCA">
        <w:rPr>
          <w:sz w:val="22"/>
          <w:szCs w:val="22"/>
        </w:rPr>
        <w:t xml:space="preserve">installed, which will be used to provide power to pump water for fire suppression or protection. </w:t>
      </w:r>
      <w:r w:rsidR="00D6286E">
        <w:rPr>
          <w:sz w:val="22"/>
          <w:szCs w:val="22"/>
        </w:rPr>
        <w:t xml:space="preserve"> </w:t>
      </w:r>
      <w:r w:rsidRPr="00E54DCA">
        <w:rPr>
          <w:sz w:val="22"/>
          <w:szCs w:val="22"/>
        </w:rPr>
        <w:t>The</w:t>
      </w:r>
      <w:r>
        <w:rPr>
          <w:sz w:val="22"/>
          <w:szCs w:val="22"/>
        </w:rPr>
        <w:t xml:space="preserve"> </w:t>
      </w:r>
      <w:r w:rsidR="00331207">
        <w:rPr>
          <w:sz w:val="22"/>
          <w:szCs w:val="22"/>
        </w:rPr>
        <w:t xml:space="preserve">applicant has specified that the </w:t>
      </w:r>
      <w:r w:rsidRPr="00E54DCA">
        <w:rPr>
          <w:sz w:val="22"/>
          <w:szCs w:val="22"/>
        </w:rPr>
        <w:t>emergency generator and fire pump will use ultra-low sulfur diesel (ULSD) fuel with a sulfur content not to</w:t>
      </w:r>
      <w:r>
        <w:rPr>
          <w:sz w:val="22"/>
          <w:szCs w:val="22"/>
        </w:rPr>
        <w:t xml:space="preserve"> </w:t>
      </w:r>
      <w:r w:rsidR="00951BFD">
        <w:rPr>
          <w:sz w:val="22"/>
          <w:szCs w:val="22"/>
        </w:rPr>
        <w:t>exceed 0.0015%</w:t>
      </w:r>
      <w:r w:rsidR="009C1E89">
        <w:rPr>
          <w:sz w:val="22"/>
          <w:szCs w:val="22"/>
        </w:rPr>
        <w:t xml:space="preserve"> with both</w:t>
      </w:r>
      <w:r w:rsidRPr="00E54DCA">
        <w:rPr>
          <w:sz w:val="22"/>
          <w:szCs w:val="22"/>
        </w:rPr>
        <w:t xml:space="preserve"> operated</w:t>
      </w:r>
      <w:r w:rsidR="00331207">
        <w:rPr>
          <w:sz w:val="22"/>
          <w:szCs w:val="22"/>
        </w:rPr>
        <w:t xml:space="preserve"> for</w:t>
      </w:r>
      <w:r w:rsidRPr="00E54DCA">
        <w:rPr>
          <w:sz w:val="22"/>
          <w:szCs w:val="22"/>
        </w:rPr>
        <w:t xml:space="preserve"> only 1 to 2 hours per month for maintenance and reliability testing</w:t>
      </w:r>
      <w:r w:rsidR="001338C8">
        <w:rPr>
          <w:sz w:val="22"/>
          <w:szCs w:val="22"/>
        </w:rPr>
        <w:t>.</w:t>
      </w:r>
    </w:p>
    <w:p w:rsidR="002937DA" w:rsidRPr="006C19BE" w:rsidRDefault="002937DA" w:rsidP="002937DA">
      <w:pPr>
        <w:widowControl w:val="0"/>
        <w:spacing w:after="120"/>
        <w:rPr>
          <w:sz w:val="22"/>
          <w:szCs w:val="22"/>
          <w:u w:val="single"/>
        </w:rPr>
      </w:pPr>
      <w:r w:rsidRPr="006C19BE">
        <w:rPr>
          <w:sz w:val="22"/>
          <w:szCs w:val="22"/>
          <w:u w:val="single"/>
        </w:rPr>
        <w:t>Identification of Control Technologies</w:t>
      </w:r>
    </w:p>
    <w:p w:rsidR="002937DA" w:rsidRPr="00C97900" w:rsidRDefault="006507BD" w:rsidP="00C97900">
      <w:pPr>
        <w:widowControl w:val="0"/>
        <w:spacing w:after="120"/>
        <w:rPr>
          <w:sz w:val="22"/>
          <w:szCs w:val="22"/>
        </w:rPr>
      </w:pPr>
      <w:r>
        <w:rPr>
          <w:sz w:val="22"/>
          <w:szCs w:val="22"/>
        </w:rPr>
        <w:t>Similar to the previous combustion sources, p</w:t>
      </w:r>
      <w:r w:rsidR="00A154EE">
        <w:rPr>
          <w:sz w:val="22"/>
          <w:szCs w:val="22"/>
        </w:rPr>
        <w:t>ossible NO</w:t>
      </w:r>
      <w:r w:rsidR="00A154EE" w:rsidRPr="00A154EE">
        <w:rPr>
          <w:sz w:val="22"/>
          <w:szCs w:val="22"/>
          <w:vertAlign w:val="subscript"/>
        </w:rPr>
        <w:t>X</w:t>
      </w:r>
      <w:r w:rsidR="00A154EE">
        <w:rPr>
          <w:sz w:val="22"/>
          <w:szCs w:val="22"/>
        </w:rPr>
        <w:t xml:space="preserve"> controls include an SCR, </w:t>
      </w:r>
      <w:r w:rsidR="000A4FB2">
        <w:rPr>
          <w:sz w:val="22"/>
          <w:szCs w:val="22"/>
        </w:rPr>
        <w:t>l</w:t>
      </w:r>
      <w:r w:rsidR="00C1019B" w:rsidRPr="00C1019B">
        <w:rPr>
          <w:sz w:val="22"/>
          <w:szCs w:val="22"/>
        </w:rPr>
        <w:t>ean NO</w:t>
      </w:r>
      <w:r w:rsidR="00C1019B" w:rsidRPr="00A31F91">
        <w:rPr>
          <w:sz w:val="22"/>
          <w:szCs w:val="22"/>
          <w:vertAlign w:val="subscript"/>
        </w:rPr>
        <w:t>X</w:t>
      </w:r>
      <w:r w:rsidR="00C1019B" w:rsidRPr="00C1019B">
        <w:rPr>
          <w:sz w:val="22"/>
          <w:szCs w:val="22"/>
        </w:rPr>
        <w:t xml:space="preserve"> </w:t>
      </w:r>
      <w:r w:rsidR="000A4FB2">
        <w:rPr>
          <w:sz w:val="22"/>
          <w:szCs w:val="22"/>
        </w:rPr>
        <w:t>c</w:t>
      </w:r>
      <w:r w:rsidR="003954FF">
        <w:rPr>
          <w:sz w:val="22"/>
          <w:szCs w:val="22"/>
        </w:rPr>
        <w:t>atalyst</w:t>
      </w:r>
      <w:r w:rsidR="00A31F91">
        <w:rPr>
          <w:sz w:val="22"/>
          <w:szCs w:val="22"/>
        </w:rPr>
        <w:t xml:space="preserve">, </w:t>
      </w:r>
      <w:r w:rsidR="00A31F91" w:rsidRPr="00A31F91">
        <w:rPr>
          <w:sz w:val="22"/>
          <w:szCs w:val="22"/>
        </w:rPr>
        <w:t>NO</w:t>
      </w:r>
      <w:r w:rsidR="00A31F91" w:rsidRPr="00A31F91">
        <w:rPr>
          <w:sz w:val="22"/>
          <w:szCs w:val="22"/>
          <w:vertAlign w:val="subscript"/>
        </w:rPr>
        <w:t>X</w:t>
      </w:r>
      <w:r w:rsidR="00A31F91" w:rsidRPr="00A31F91">
        <w:rPr>
          <w:sz w:val="22"/>
          <w:szCs w:val="22"/>
        </w:rPr>
        <w:t xml:space="preserve"> </w:t>
      </w:r>
      <w:r w:rsidR="00951BFD">
        <w:rPr>
          <w:sz w:val="22"/>
          <w:szCs w:val="22"/>
        </w:rPr>
        <w:t>a</w:t>
      </w:r>
      <w:r w:rsidR="00951BFD" w:rsidRPr="00A31F91">
        <w:rPr>
          <w:sz w:val="22"/>
          <w:szCs w:val="22"/>
        </w:rPr>
        <w:t>bsorbers</w:t>
      </w:r>
      <w:r w:rsidR="00A31F91">
        <w:rPr>
          <w:sz w:val="22"/>
          <w:szCs w:val="22"/>
        </w:rPr>
        <w:t xml:space="preserve"> and an FGR system.</w:t>
      </w:r>
      <w:r w:rsidR="00825FCF">
        <w:rPr>
          <w:sz w:val="22"/>
          <w:szCs w:val="22"/>
        </w:rPr>
        <w:t xml:space="preserve">  While CO </w:t>
      </w:r>
      <w:r w:rsidR="0005354A">
        <w:rPr>
          <w:sz w:val="22"/>
          <w:szCs w:val="22"/>
        </w:rPr>
        <w:t xml:space="preserve">emissions </w:t>
      </w:r>
      <w:r w:rsidR="00825FCF">
        <w:rPr>
          <w:sz w:val="22"/>
          <w:szCs w:val="22"/>
        </w:rPr>
        <w:t xml:space="preserve">can </w:t>
      </w:r>
      <w:r w:rsidR="005639B0">
        <w:rPr>
          <w:sz w:val="22"/>
          <w:szCs w:val="22"/>
        </w:rPr>
        <w:t>be controlled through GCP and a diesel</w:t>
      </w:r>
      <w:r w:rsidR="00825FCF">
        <w:rPr>
          <w:sz w:val="22"/>
          <w:szCs w:val="22"/>
        </w:rPr>
        <w:t xml:space="preserve"> oxidation catalyst.</w:t>
      </w:r>
      <w:r w:rsidR="000A4FB2">
        <w:rPr>
          <w:sz w:val="22"/>
          <w:szCs w:val="22"/>
        </w:rPr>
        <w:t xml:space="preserve">  </w:t>
      </w:r>
      <w:r w:rsidR="0005354A">
        <w:rPr>
          <w:sz w:val="22"/>
          <w:szCs w:val="22"/>
        </w:rPr>
        <w:t>Energy</w:t>
      </w:r>
      <w:r w:rsidR="000A4FB2">
        <w:rPr>
          <w:sz w:val="22"/>
          <w:szCs w:val="22"/>
        </w:rPr>
        <w:t xml:space="preserve"> efficiency and </w:t>
      </w:r>
      <w:r w:rsidR="00B2543F">
        <w:rPr>
          <w:sz w:val="22"/>
          <w:szCs w:val="22"/>
        </w:rPr>
        <w:t>clean fuels</w:t>
      </w:r>
      <w:r w:rsidR="0005354A">
        <w:rPr>
          <w:sz w:val="22"/>
          <w:szCs w:val="22"/>
        </w:rPr>
        <w:t xml:space="preserve"> can also be utilized to control GHGs</w:t>
      </w:r>
      <w:r w:rsidR="00B2543F">
        <w:rPr>
          <w:sz w:val="22"/>
          <w:szCs w:val="22"/>
        </w:rPr>
        <w:t>, while e</w:t>
      </w:r>
      <w:r w:rsidR="00CD4541">
        <w:rPr>
          <w:sz w:val="22"/>
          <w:szCs w:val="22"/>
        </w:rPr>
        <w:t xml:space="preserve">missions of PM can be controlled through the use of </w:t>
      </w:r>
      <w:r w:rsidR="005639B0">
        <w:rPr>
          <w:sz w:val="22"/>
          <w:szCs w:val="22"/>
        </w:rPr>
        <w:t xml:space="preserve">diesel particulate filters, </w:t>
      </w:r>
      <w:r w:rsidR="00CD4541" w:rsidRPr="00CD4541">
        <w:rPr>
          <w:sz w:val="22"/>
          <w:szCs w:val="22"/>
        </w:rPr>
        <w:t>catalyzed diesel particulate filters</w:t>
      </w:r>
      <w:r w:rsidR="005639B0">
        <w:rPr>
          <w:sz w:val="22"/>
          <w:szCs w:val="22"/>
        </w:rPr>
        <w:t xml:space="preserve"> or</w:t>
      </w:r>
      <w:r w:rsidR="005639B0" w:rsidRPr="005639B0">
        <w:t xml:space="preserve"> </w:t>
      </w:r>
      <w:r w:rsidR="005639B0">
        <w:rPr>
          <w:sz w:val="22"/>
          <w:szCs w:val="22"/>
        </w:rPr>
        <w:t>a</w:t>
      </w:r>
      <w:r w:rsidR="005639B0" w:rsidRPr="005639B0">
        <w:rPr>
          <w:sz w:val="22"/>
          <w:szCs w:val="22"/>
        </w:rPr>
        <w:t xml:space="preserve"> </w:t>
      </w:r>
      <w:r w:rsidR="005639B0">
        <w:rPr>
          <w:sz w:val="22"/>
          <w:szCs w:val="22"/>
        </w:rPr>
        <w:t>c</w:t>
      </w:r>
      <w:r w:rsidR="005639B0" w:rsidRPr="005639B0">
        <w:rPr>
          <w:sz w:val="22"/>
          <w:szCs w:val="22"/>
        </w:rPr>
        <w:t xml:space="preserve">rankcase </w:t>
      </w:r>
      <w:r w:rsidR="005639B0">
        <w:rPr>
          <w:sz w:val="22"/>
          <w:szCs w:val="22"/>
        </w:rPr>
        <w:t>v</w:t>
      </w:r>
      <w:r w:rsidR="005639B0" w:rsidRPr="005639B0">
        <w:rPr>
          <w:sz w:val="22"/>
          <w:szCs w:val="22"/>
        </w:rPr>
        <w:t xml:space="preserve">entilation </w:t>
      </w:r>
      <w:r w:rsidR="005639B0">
        <w:rPr>
          <w:sz w:val="22"/>
          <w:szCs w:val="22"/>
        </w:rPr>
        <w:t>s</w:t>
      </w:r>
      <w:r w:rsidR="005639B0" w:rsidRPr="005639B0">
        <w:rPr>
          <w:sz w:val="22"/>
          <w:szCs w:val="22"/>
        </w:rPr>
        <w:t>ystem</w:t>
      </w:r>
      <w:r w:rsidR="00CD4541">
        <w:rPr>
          <w:sz w:val="22"/>
          <w:szCs w:val="22"/>
        </w:rPr>
        <w:t>.</w:t>
      </w:r>
      <w:r w:rsidR="005639B0">
        <w:rPr>
          <w:sz w:val="22"/>
          <w:szCs w:val="22"/>
        </w:rPr>
        <w:t xml:space="preserve">  </w:t>
      </w:r>
      <w:r w:rsidR="005639B0" w:rsidRPr="005639B0">
        <w:rPr>
          <w:sz w:val="22"/>
          <w:szCs w:val="22"/>
        </w:rPr>
        <w:t xml:space="preserve">The use of ULSD </w:t>
      </w:r>
      <w:r w:rsidR="0005354A">
        <w:rPr>
          <w:sz w:val="22"/>
          <w:szCs w:val="22"/>
        </w:rPr>
        <w:t xml:space="preserve">also </w:t>
      </w:r>
      <w:r w:rsidR="005639B0" w:rsidRPr="005639B0">
        <w:rPr>
          <w:sz w:val="22"/>
          <w:szCs w:val="22"/>
        </w:rPr>
        <w:t>reduces the formation of sulfur oxides and particulate sulfates from the diesel engine exhaust.</w:t>
      </w:r>
    </w:p>
    <w:p w:rsidR="002937DA" w:rsidRPr="006C19BE" w:rsidRDefault="002937DA" w:rsidP="002937DA">
      <w:pPr>
        <w:widowControl w:val="0"/>
        <w:spacing w:after="120"/>
        <w:rPr>
          <w:sz w:val="22"/>
          <w:szCs w:val="22"/>
          <w:u w:val="single"/>
        </w:rPr>
      </w:pPr>
      <w:r w:rsidRPr="006C19BE">
        <w:rPr>
          <w:sz w:val="22"/>
          <w:szCs w:val="22"/>
          <w:u w:val="single"/>
        </w:rPr>
        <w:t>Discussion of Technically Infeasible Control Options and Ranking of Remaining Options</w:t>
      </w:r>
    </w:p>
    <w:p w:rsidR="00F91C68" w:rsidRDefault="00F91C68" w:rsidP="00F91C68">
      <w:pPr>
        <w:widowControl w:val="0"/>
        <w:spacing w:after="120"/>
        <w:rPr>
          <w:sz w:val="22"/>
          <w:szCs w:val="22"/>
          <w:u w:val="single"/>
        </w:rPr>
      </w:pPr>
      <w:r w:rsidRPr="00C97900">
        <w:rPr>
          <w:sz w:val="22"/>
          <w:szCs w:val="22"/>
        </w:rPr>
        <w:t>The installation of controls would not be cost effective given the amount of operation.</w:t>
      </w:r>
      <w:r w:rsidR="00DC4BBC">
        <w:rPr>
          <w:sz w:val="22"/>
          <w:szCs w:val="22"/>
        </w:rPr>
        <w:t xml:space="preserve">  Therefore, the </w:t>
      </w:r>
      <w:r w:rsidR="00216FF1">
        <w:rPr>
          <w:sz w:val="22"/>
          <w:szCs w:val="22"/>
        </w:rPr>
        <w:t xml:space="preserve">only feasible control methods that remain are GCP, clean fuels, and energy efficiency. </w:t>
      </w:r>
    </w:p>
    <w:p w:rsidR="00297927" w:rsidRDefault="00297927" w:rsidP="002937DA">
      <w:pPr>
        <w:widowControl w:val="0"/>
        <w:spacing w:after="120"/>
        <w:rPr>
          <w:sz w:val="22"/>
          <w:szCs w:val="22"/>
          <w:u w:val="single"/>
        </w:rPr>
      </w:pPr>
      <w:r w:rsidRPr="00297927">
        <w:rPr>
          <w:sz w:val="22"/>
          <w:szCs w:val="22"/>
          <w:u w:val="single"/>
        </w:rPr>
        <w:t>Evaluation of Economic, Environmental, and Energy Impacts of Feasible Technologies</w:t>
      </w:r>
    </w:p>
    <w:p w:rsidR="00F91C68" w:rsidRPr="00F91C68" w:rsidRDefault="00F91C68" w:rsidP="002937DA">
      <w:pPr>
        <w:widowControl w:val="0"/>
        <w:spacing w:after="120"/>
        <w:rPr>
          <w:sz w:val="22"/>
          <w:szCs w:val="22"/>
        </w:rPr>
      </w:pPr>
      <w:r w:rsidRPr="00F91C68">
        <w:rPr>
          <w:sz w:val="22"/>
          <w:szCs w:val="22"/>
        </w:rPr>
        <w:t>The energy efficiency through the regulation of the amount of fuel used is considered to be the only technically feasible CO</w:t>
      </w:r>
      <w:r w:rsidRPr="00F91C68">
        <w:rPr>
          <w:sz w:val="22"/>
          <w:szCs w:val="22"/>
          <w:vertAlign w:val="subscript"/>
        </w:rPr>
        <w:t>2</w:t>
      </w:r>
      <w:r w:rsidRPr="00F91C68">
        <w:rPr>
          <w:sz w:val="22"/>
          <w:szCs w:val="22"/>
        </w:rPr>
        <w:t xml:space="preserve"> control option for the emergency diesel generator and fire pump engine.</w:t>
      </w:r>
    </w:p>
    <w:p w:rsidR="002937DA" w:rsidRDefault="002937DA" w:rsidP="002937DA">
      <w:pPr>
        <w:widowControl w:val="0"/>
        <w:spacing w:after="120"/>
        <w:rPr>
          <w:sz w:val="22"/>
          <w:szCs w:val="22"/>
          <w:u w:val="single"/>
        </w:rPr>
      </w:pPr>
      <w:r w:rsidRPr="006C19BE">
        <w:rPr>
          <w:sz w:val="22"/>
          <w:szCs w:val="22"/>
          <w:u w:val="single"/>
        </w:rPr>
        <w:t>Selection of BACT and Rationale</w:t>
      </w:r>
    </w:p>
    <w:p w:rsidR="008D4809" w:rsidRDefault="00FA3486" w:rsidP="00F746B9">
      <w:pPr>
        <w:widowControl w:val="0"/>
        <w:spacing w:after="120"/>
        <w:rPr>
          <w:sz w:val="22"/>
          <w:szCs w:val="22"/>
        </w:rPr>
      </w:pPr>
      <w:r w:rsidRPr="00FA3486">
        <w:rPr>
          <w:sz w:val="22"/>
          <w:szCs w:val="22"/>
        </w:rPr>
        <w:t>The</w:t>
      </w:r>
      <w:r w:rsidR="000B55A5">
        <w:rPr>
          <w:sz w:val="22"/>
          <w:szCs w:val="22"/>
        </w:rPr>
        <w:t xml:space="preserve"> applicant has proposed that the</w:t>
      </w:r>
      <w:r w:rsidRPr="00FA3486">
        <w:rPr>
          <w:sz w:val="22"/>
          <w:szCs w:val="22"/>
        </w:rPr>
        <w:t xml:space="preserve"> use of ULSD oil and GCP </w:t>
      </w:r>
      <w:r w:rsidR="000B55A5">
        <w:rPr>
          <w:sz w:val="22"/>
          <w:szCs w:val="22"/>
        </w:rPr>
        <w:t>to</w:t>
      </w:r>
      <w:r w:rsidRPr="00FA3486">
        <w:rPr>
          <w:sz w:val="22"/>
          <w:szCs w:val="22"/>
        </w:rPr>
        <w:t xml:space="preserve"> minimize the emissions of PM, PM</w:t>
      </w:r>
      <w:r w:rsidRPr="00951EC1">
        <w:rPr>
          <w:sz w:val="22"/>
          <w:szCs w:val="22"/>
          <w:vertAlign w:val="subscript"/>
        </w:rPr>
        <w:t>10</w:t>
      </w:r>
      <w:r w:rsidRPr="00FA3486">
        <w:rPr>
          <w:sz w:val="22"/>
          <w:szCs w:val="22"/>
        </w:rPr>
        <w:t>, and PM</w:t>
      </w:r>
      <w:r w:rsidRPr="00951EC1">
        <w:rPr>
          <w:sz w:val="22"/>
          <w:szCs w:val="22"/>
          <w:vertAlign w:val="subscript"/>
        </w:rPr>
        <w:t>2.5</w:t>
      </w:r>
      <w:r w:rsidRPr="00951EC1">
        <w:rPr>
          <w:sz w:val="22"/>
          <w:szCs w:val="22"/>
        </w:rPr>
        <w:t xml:space="preserve"> </w:t>
      </w:r>
      <w:r w:rsidRPr="00FA3486">
        <w:rPr>
          <w:sz w:val="22"/>
          <w:szCs w:val="22"/>
        </w:rPr>
        <w:t>and SO</w:t>
      </w:r>
      <w:r w:rsidRPr="00951EC1">
        <w:rPr>
          <w:sz w:val="22"/>
          <w:szCs w:val="22"/>
          <w:vertAlign w:val="subscript"/>
        </w:rPr>
        <w:t>2</w:t>
      </w:r>
      <w:r w:rsidR="000B55A5" w:rsidRPr="000B55A5">
        <w:rPr>
          <w:sz w:val="22"/>
          <w:szCs w:val="22"/>
        </w:rPr>
        <w:t>,</w:t>
      </w:r>
      <w:r w:rsidRPr="00FA3486">
        <w:rPr>
          <w:sz w:val="22"/>
          <w:szCs w:val="22"/>
        </w:rPr>
        <w:t xml:space="preserve"> as BACT.</w:t>
      </w:r>
      <w:r w:rsidR="00F746B9" w:rsidRPr="00F746B9">
        <w:t xml:space="preserve"> </w:t>
      </w:r>
      <w:r w:rsidR="00F746B9">
        <w:t xml:space="preserve"> </w:t>
      </w:r>
      <w:r w:rsidR="00F746B9" w:rsidRPr="00F746B9">
        <w:rPr>
          <w:sz w:val="22"/>
          <w:szCs w:val="22"/>
        </w:rPr>
        <w:t>Energy efficiency through the regulation of fuel use to meet the function</w:t>
      </w:r>
      <w:r w:rsidR="00F746B9">
        <w:rPr>
          <w:sz w:val="22"/>
          <w:szCs w:val="22"/>
        </w:rPr>
        <w:t xml:space="preserve"> of the emergency units</w:t>
      </w:r>
      <w:r w:rsidR="00F746B9" w:rsidRPr="00F746B9">
        <w:rPr>
          <w:sz w:val="22"/>
          <w:szCs w:val="22"/>
        </w:rPr>
        <w:t xml:space="preserve"> is the only remaining and feasible</w:t>
      </w:r>
      <w:r w:rsidR="00F746B9">
        <w:rPr>
          <w:sz w:val="22"/>
          <w:szCs w:val="22"/>
        </w:rPr>
        <w:t xml:space="preserve"> </w:t>
      </w:r>
      <w:r w:rsidR="00F746B9" w:rsidRPr="00F746B9">
        <w:rPr>
          <w:sz w:val="22"/>
          <w:szCs w:val="22"/>
        </w:rPr>
        <w:t>control technology and is selected as BACT for the GHG emissions</w:t>
      </w:r>
      <w:r w:rsidR="00F746B9">
        <w:rPr>
          <w:sz w:val="22"/>
          <w:szCs w:val="22"/>
        </w:rPr>
        <w:t>.</w:t>
      </w:r>
    </w:p>
    <w:p w:rsidR="000B55A5" w:rsidRPr="000B55A5" w:rsidRDefault="000B55A5" w:rsidP="00FA3486">
      <w:pPr>
        <w:widowControl w:val="0"/>
        <w:spacing w:after="120"/>
        <w:rPr>
          <w:sz w:val="22"/>
          <w:szCs w:val="22"/>
        </w:rPr>
      </w:pPr>
      <w:r w:rsidRPr="000B55A5">
        <w:rPr>
          <w:sz w:val="22"/>
          <w:szCs w:val="22"/>
        </w:rPr>
        <w:t>The Department</w:t>
      </w:r>
      <w:r w:rsidR="00DB6983">
        <w:rPr>
          <w:sz w:val="22"/>
          <w:szCs w:val="22"/>
        </w:rPr>
        <w:t xml:space="preserve"> accepts the applicant’s proposal as a draft </w:t>
      </w:r>
      <w:r w:rsidR="00F746B9">
        <w:rPr>
          <w:sz w:val="22"/>
          <w:szCs w:val="22"/>
        </w:rPr>
        <w:t>BACT determination</w:t>
      </w:r>
      <w:r w:rsidR="00375D72">
        <w:rPr>
          <w:sz w:val="22"/>
          <w:szCs w:val="22"/>
        </w:rPr>
        <w:t xml:space="preserve"> and shall specify a fuel sulfur limit of </w:t>
      </w:r>
      <w:r w:rsidR="00375D72" w:rsidRPr="00375D72">
        <w:rPr>
          <w:sz w:val="22"/>
          <w:szCs w:val="22"/>
        </w:rPr>
        <w:t>0.0015%</w:t>
      </w:r>
      <w:r w:rsidR="00375D72">
        <w:rPr>
          <w:sz w:val="22"/>
          <w:szCs w:val="22"/>
        </w:rPr>
        <w:t xml:space="preserve"> for the ULSD oil</w:t>
      </w:r>
      <w:r w:rsidR="00F746B9">
        <w:rPr>
          <w:sz w:val="22"/>
          <w:szCs w:val="22"/>
        </w:rPr>
        <w:t>.  As seen in</w:t>
      </w:r>
      <w:r w:rsidR="00951BFD">
        <w:rPr>
          <w:sz w:val="22"/>
          <w:szCs w:val="22"/>
        </w:rPr>
        <w:t xml:space="preserve"> </w:t>
      </w:r>
      <w:r w:rsidR="00951BFD" w:rsidRPr="00951BFD">
        <w:rPr>
          <w:rFonts w:ascii="Times New Roman Bold" w:hAnsi="Times New Roman Bold"/>
          <w:b/>
          <w:sz w:val="22"/>
          <w:szCs w:val="22"/>
        </w:rPr>
        <w:fldChar w:fldCharType="begin"/>
      </w:r>
      <w:r w:rsidR="00951BFD" w:rsidRPr="00951BFD">
        <w:rPr>
          <w:rFonts w:ascii="Times New Roman Bold" w:hAnsi="Times New Roman Bold"/>
          <w:b/>
          <w:sz w:val="22"/>
          <w:szCs w:val="22"/>
        </w:rPr>
        <w:instrText xml:space="preserve"> REF _Ref513623318 \h </w:instrText>
      </w:r>
      <w:r w:rsidR="00951BFD">
        <w:rPr>
          <w:rFonts w:ascii="Times New Roman Bold" w:hAnsi="Times New Roman Bold"/>
          <w:b/>
          <w:sz w:val="22"/>
          <w:szCs w:val="22"/>
        </w:rPr>
        <w:instrText xml:space="preserve"> \* MERGEFORMAT </w:instrText>
      </w:r>
      <w:r w:rsidR="00951BFD" w:rsidRPr="00951BFD">
        <w:rPr>
          <w:rFonts w:ascii="Times New Roman Bold" w:hAnsi="Times New Roman Bold"/>
          <w:b/>
          <w:sz w:val="22"/>
          <w:szCs w:val="22"/>
        </w:rPr>
      </w:r>
      <w:r w:rsidR="00951BFD" w:rsidRPr="00951BFD">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15</w:t>
      </w:r>
      <w:r w:rsidR="00951BFD" w:rsidRPr="00951BFD">
        <w:rPr>
          <w:rFonts w:ascii="Times New Roman Bold" w:hAnsi="Times New Roman Bold"/>
          <w:b/>
          <w:sz w:val="22"/>
          <w:szCs w:val="22"/>
        </w:rPr>
        <w:fldChar w:fldCharType="end"/>
      </w:r>
      <w:r w:rsidR="00F746B9">
        <w:rPr>
          <w:sz w:val="22"/>
          <w:szCs w:val="22"/>
        </w:rPr>
        <w:t>, the selected control methods are consistent with previous BACT determinations for similar units.</w:t>
      </w:r>
    </w:p>
    <w:p w:rsidR="00221F5A" w:rsidRDefault="00951BFD" w:rsidP="00951BFD">
      <w:pPr>
        <w:pStyle w:val="Caption"/>
        <w:spacing w:before="0"/>
        <w:jc w:val="center"/>
      </w:pPr>
      <w:bookmarkStart w:id="64" w:name="_Ref513623318"/>
      <w:r>
        <w:t xml:space="preserve">Table </w:t>
      </w:r>
      <w:fldSimple w:instr=" SEQ Table \* ARABIC ">
        <w:r w:rsidR="007204D0">
          <w:rPr>
            <w:noProof/>
          </w:rPr>
          <w:t>15</w:t>
        </w:r>
      </w:fldSimple>
      <w:bookmarkEnd w:id="64"/>
      <w:r>
        <w:t xml:space="preserve"> - </w:t>
      </w:r>
      <w:r w:rsidR="00FC52F7" w:rsidRPr="00FC52F7">
        <w:t>RBLC BACT Determinations for Emergency Diesel Generator and Fire Pump Engines</w:t>
      </w:r>
      <w:r w:rsidR="00FC52F7">
        <w:t>.</w:t>
      </w:r>
    </w:p>
    <w:tbl>
      <w:tblPr>
        <w:tblStyle w:val="TableGrid"/>
        <w:tblW w:w="9957" w:type="dxa"/>
        <w:tblInd w:w="108" w:type="dxa"/>
        <w:tblLook w:val="04A0" w:firstRow="1" w:lastRow="0" w:firstColumn="1" w:lastColumn="0" w:noHBand="0" w:noVBand="1"/>
      </w:tblPr>
      <w:tblGrid>
        <w:gridCol w:w="1227"/>
        <w:gridCol w:w="1128"/>
        <w:gridCol w:w="2424"/>
        <w:gridCol w:w="1459"/>
        <w:gridCol w:w="1847"/>
        <w:gridCol w:w="1872"/>
      </w:tblGrid>
      <w:tr w:rsidR="003B2442" w:rsidRPr="00E8321C" w:rsidTr="003260CF">
        <w:tc>
          <w:tcPr>
            <w:tcW w:w="1227" w:type="dxa"/>
            <w:tcBorders>
              <w:top w:val="single" w:sz="12" w:space="0" w:color="auto"/>
              <w:left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RBLC ID</w:t>
            </w:r>
          </w:p>
        </w:tc>
        <w:tc>
          <w:tcPr>
            <w:tcW w:w="1128"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Date</w:t>
            </w:r>
          </w:p>
        </w:tc>
        <w:tc>
          <w:tcPr>
            <w:tcW w:w="2424"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Source Type</w:t>
            </w:r>
          </w:p>
        </w:tc>
        <w:tc>
          <w:tcPr>
            <w:tcW w:w="1459"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Pollutant</w:t>
            </w:r>
          </w:p>
        </w:tc>
        <w:tc>
          <w:tcPr>
            <w:tcW w:w="1847" w:type="dxa"/>
            <w:tcBorders>
              <w:top w:val="single" w:sz="12" w:space="0" w:color="auto"/>
              <w:bottom w:val="single" w:sz="12" w:space="0" w:color="auto"/>
              <w:right w:val="single" w:sz="4"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Pollutant Limit</w:t>
            </w:r>
          </w:p>
        </w:tc>
        <w:tc>
          <w:tcPr>
            <w:tcW w:w="1872" w:type="dxa"/>
            <w:tcBorders>
              <w:top w:val="single" w:sz="12" w:space="0" w:color="auto"/>
              <w:left w:val="single" w:sz="4" w:space="0" w:color="auto"/>
              <w:bottom w:val="single" w:sz="12" w:space="0" w:color="auto"/>
              <w:right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Control Method</w:t>
            </w:r>
          </w:p>
        </w:tc>
      </w:tr>
      <w:tr w:rsidR="003B2442" w:rsidRPr="001B6505" w:rsidTr="003260CF">
        <w:trPr>
          <w:trHeight w:val="288"/>
        </w:trPr>
        <w:tc>
          <w:tcPr>
            <w:tcW w:w="1227" w:type="dxa"/>
            <w:vMerge w:val="restart"/>
            <w:tcBorders>
              <w:left w:val="single" w:sz="12" w:space="0" w:color="auto"/>
            </w:tcBorders>
            <w:vAlign w:val="center"/>
          </w:tcPr>
          <w:p w:rsidR="003B2442" w:rsidRPr="00EA1788" w:rsidRDefault="003B2442" w:rsidP="00262064">
            <w:pPr>
              <w:pStyle w:val="BodyText2"/>
              <w:widowControl w:val="0"/>
              <w:spacing w:after="0"/>
              <w:jc w:val="center"/>
              <w:rPr>
                <w:sz w:val="20"/>
              </w:rPr>
            </w:pPr>
            <w:r>
              <w:rPr>
                <w:sz w:val="20"/>
              </w:rPr>
              <w:t>FL-0356</w:t>
            </w:r>
            <w:r w:rsidRPr="00EA1788">
              <w:rPr>
                <w:b/>
                <w:sz w:val="24"/>
                <w:szCs w:val="24"/>
                <w:vertAlign w:val="superscript"/>
              </w:rPr>
              <w:t>b</w:t>
            </w:r>
          </w:p>
        </w:tc>
        <w:tc>
          <w:tcPr>
            <w:tcW w:w="1128" w:type="dxa"/>
            <w:vMerge w:val="restart"/>
            <w:vAlign w:val="center"/>
          </w:tcPr>
          <w:p w:rsidR="003B2442" w:rsidRDefault="003B2442" w:rsidP="00262064">
            <w:pPr>
              <w:pStyle w:val="BodyText2"/>
              <w:widowControl w:val="0"/>
              <w:spacing w:after="0"/>
              <w:jc w:val="center"/>
              <w:rPr>
                <w:sz w:val="20"/>
              </w:rPr>
            </w:pPr>
            <w:r>
              <w:rPr>
                <w:sz w:val="20"/>
              </w:rPr>
              <w:t>03/09/2016</w:t>
            </w:r>
          </w:p>
        </w:tc>
        <w:tc>
          <w:tcPr>
            <w:tcW w:w="2424" w:type="dxa"/>
            <w:vMerge w:val="restart"/>
            <w:vAlign w:val="center"/>
          </w:tcPr>
          <w:p w:rsidR="003B2442" w:rsidRDefault="003B2442" w:rsidP="00262064">
            <w:pPr>
              <w:pStyle w:val="BodyText2"/>
              <w:widowControl w:val="0"/>
              <w:spacing w:after="0"/>
              <w:jc w:val="center"/>
              <w:rPr>
                <w:sz w:val="20"/>
              </w:rPr>
            </w:pPr>
            <w:r>
              <w:rPr>
                <w:sz w:val="20"/>
              </w:rPr>
              <w:t>3,300 kW Emergency Generator</w:t>
            </w:r>
          </w:p>
        </w:tc>
        <w:tc>
          <w:tcPr>
            <w:tcW w:w="1459" w:type="dxa"/>
            <w:vAlign w:val="center"/>
          </w:tcPr>
          <w:p w:rsidR="003B2442" w:rsidRPr="00903C22" w:rsidRDefault="003B2442" w:rsidP="00262064">
            <w:pPr>
              <w:pStyle w:val="BodyText2"/>
              <w:widowControl w:val="0"/>
              <w:numPr>
                <w:ilvl w:val="0"/>
                <w:numId w:val="0"/>
              </w:numPr>
              <w:spacing w:after="0"/>
              <w:jc w:val="center"/>
              <w:rPr>
                <w:sz w:val="20"/>
              </w:rPr>
            </w:pPr>
            <w:r>
              <w:rPr>
                <w:sz w:val="20"/>
              </w:rPr>
              <w:t>NMHC + NO</w:t>
            </w:r>
            <w:r>
              <w:rPr>
                <w:sz w:val="20"/>
                <w:vertAlign w:val="subscript"/>
              </w:rPr>
              <w:t>X</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6.4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spacing w:after="0"/>
              <w:jc w:val="center"/>
              <w:rPr>
                <w:sz w:val="20"/>
              </w:rPr>
            </w:pPr>
            <w:r>
              <w:rPr>
                <w:sz w:val="20"/>
              </w:rPr>
              <w:t>GCP</w:t>
            </w:r>
          </w:p>
        </w:tc>
      </w:tr>
      <w:tr w:rsidR="003B2442" w:rsidRPr="001B6505" w:rsidTr="003260CF">
        <w:trPr>
          <w:trHeight w:val="288"/>
        </w:trPr>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CO</w:t>
            </w:r>
          </w:p>
        </w:tc>
        <w:tc>
          <w:tcPr>
            <w:tcW w:w="1847" w:type="dxa"/>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 xml:space="preserve">3.5 </w:t>
            </w:r>
            <w:bookmarkStart w:id="65" w:name="_Hlk511387231"/>
            <w:r>
              <w:rPr>
                <w:sz w:val="20"/>
              </w:rPr>
              <w:t>g/kW-hr</w:t>
            </w:r>
            <w:bookmarkEnd w:id="65"/>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163"/>
        </w:trPr>
        <w:tc>
          <w:tcPr>
            <w:tcW w:w="1227" w:type="dxa"/>
            <w:vMerge/>
            <w:tcBorders>
              <w:lef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0.20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ULSD fuel</w:t>
            </w:r>
          </w:p>
        </w:tc>
      </w:tr>
      <w:tr w:rsidR="003B2442" w:rsidRPr="001B6505" w:rsidTr="003260CF">
        <w:trPr>
          <w:trHeight w:val="70"/>
        </w:trPr>
        <w:tc>
          <w:tcPr>
            <w:tcW w:w="1227" w:type="dxa"/>
            <w:vMerge/>
            <w:tcBorders>
              <w:lef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Default="003B2442" w:rsidP="00262064">
            <w:pPr>
              <w:pStyle w:val="BodyText2"/>
              <w:widowControl w:val="0"/>
              <w:spacing w:after="0"/>
              <w:jc w:val="center"/>
              <w:rPr>
                <w:sz w:val="20"/>
              </w:rPr>
            </w:pPr>
          </w:p>
        </w:tc>
        <w:tc>
          <w:tcPr>
            <w:tcW w:w="1459" w:type="dxa"/>
            <w:vAlign w:val="center"/>
          </w:tcPr>
          <w:p w:rsidR="003B2442" w:rsidRPr="00301533" w:rsidRDefault="003B2442" w:rsidP="00262064">
            <w:pPr>
              <w:pStyle w:val="BodyText2"/>
              <w:widowControl w:val="0"/>
              <w:numPr>
                <w:ilvl w:val="0"/>
                <w:numId w:val="0"/>
              </w:numPr>
              <w:spacing w:after="0"/>
              <w:jc w:val="center"/>
              <w:rPr>
                <w:sz w:val="20"/>
              </w:rPr>
            </w:pPr>
            <w:r>
              <w:rPr>
                <w:sz w:val="20"/>
              </w:rPr>
              <w:t>SO</w:t>
            </w:r>
            <w:r>
              <w:rPr>
                <w:sz w:val="20"/>
                <w:vertAlign w:val="subscript"/>
              </w:rPr>
              <w:t>2</w:t>
            </w:r>
          </w:p>
        </w:tc>
        <w:tc>
          <w:tcPr>
            <w:tcW w:w="1847" w:type="dxa"/>
            <w:tcBorders>
              <w:right w:val="single" w:sz="4" w:space="0" w:color="auto"/>
            </w:tcBorders>
            <w:vAlign w:val="center"/>
          </w:tcPr>
          <w:p w:rsidR="003B2442" w:rsidRPr="003B0856" w:rsidRDefault="003B2442" w:rsidP="00262064">
            <w:pPr>
              <w:pStyle w:val="BodyText2"/>
              <w:widowControl w:val="0"/>
              <w:numPr>
                <w:ilvl w:val="0"/>
                <w:numId w:val="0"/>
              </w:numPr>
              <w:spacing w:after="0"/>
              <w:jc w:val="center"/>
              <w:rPr>
                <w:b/>
                <w:sz w:val="20"/>
                <w:vertAlign w:val="superscript"/>
              </w:rPr>
            </w:pPr>
            <w:r>
              <w:rPr>
                <w:sz w:val="20"/>
              </w:rPr>
              <w:t>0.0015% S in fuel</w:t>
            </w:r>
            <w:r w:rsidR="000E26E7">
              <w:rPr>
                <w:sz w:val="20"/>
              </w:rPr>
              <w:t xml:space="preserve"> </w:t>
            </w:r>
            <w:r w:rsidR="003260CF">
              <w:rPr>
                <w:b/>
                <w:sz w:val="24"/>
                <w:szCs w:val="24"/>
                <w:vertAlign w:val="superscript"/>
              </w:rPr>
              <w:t>a</w:t>
            </w:r>
          </w:p>
        </w:tc>
        <w:tc>
          <w:tcPr>
            <w:tcW w:w="1872" w:type="dxa"/>
            <w:vMerge/>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r>
      <w:tr w:rsidR="003B2442" w:rsidRPr="001B6505" w:rsidTr="003260CF">
        <w:trPr>
          <w:trHeight w:val="163"/>
        </w:trPr>
        <w:tc>
          <w:tcPr>
            <w:tcW w:w="1227" w:type="dxa"/>
            <w:vMerge/>
            <w:tcBorders>
              <w:lef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restart"/>
            <w:vAlign w:val="center"/>
          </w:tcPr>
          <w:p w:rsidR="003B2442" w:rsidRDefault="003B2442" w:rsidP="00262064">
            <w:pPr>
              <w:pStyle w:val="BodyText2"/>
              <w:widowControl w:val="0"/>
              <w:spacing w:after="0"/>
              <w:jc w:val="center"/>
              <w:rPr>
                <w:sz w:val="20"/>
              </w:rPr>
            </w:pPr>
            <w:r>
              <w:rPr>
                <w:sz w:val="20"/>
              </w:rPr>
              <w:t>422 HP Fire Pump Engine</w:t>
            </w:r>
          </w:p>
        </w:tc>
        <w:tc>
          <w:tcPr>
            <w:tcW w:w="1459" w:type="dxa"/>
            <w:vAlign w:val="center"/>
          </w:tcPr>
          <w:p w:rsidR="003B2442" w:rsidRPr="00903C22" w:rsidRDefault="003B2442" w:rsidP="00262064">
            <w:pPr>
              <w:pStyle w:val="BodyText2"/>
              <w:widowControl w:val="0"/>
              <w:numPr>
                <w:ilvl w:val="0"/>
                <w:numId w:val="0"/>
              </w:numPr>
              <w:spacing w:after="0"/>
              <w:jc w:val="center"/>
              <w:rPr>
                <w:sz w:val="20"/>
              </w:rPr>
            </w:pPr>
            <w:r>
              <w:rPr>
                <w:sz w:val="20"/>
              </w:rPr>
              <w:t>NMHC + NO</w:t>
            </w:r>
            <w:r>
              <w:rPr>
                <w:sz w:val="20"/>
                <w:vertAlign w:val="subscript"/>
              </w:rPr>
              <w:t>X</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4.0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spacing w:after="0"/>
              <w:jc w:val="center"/>
              <w:rPr>
                <w:sz w:val="20"/>
              </w:rPr>
            </w:pPr>
            <w:r>
              <w:rPr>
                <w:sz w:val="20"/>
              </w:rPr>
              <w:t>GCP</w:t>
            </w: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CO</w:t>
            </w:r>
          </w:p>
        </w:tc>
        <w:tc>
          <w:tcPr>
            <w:tcW w:w="1847" w:type="dxa"/>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3.5 g/kW-hr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0.20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ULSD fuel</w:t>
            </w: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Pr="00301533" w:rsidRDefault="003B2442" w:rsidP="00262064">
            <w:pPr>
              <w:pStyle w:val="BodyText2"/>
              <w:widowControl w:val="0"/>
              <w:numPr>
                <w:ilvl w:val="0"/>
                <w:numId w:val="0"/>
              </w:numPr>
              <w:spacing w:after="0"/>
              <w:jc w:val="center"/>
              <w:rPr>
                <w:sz w:val="20"/>
              </w:rPr>
            </w:pPr>
            <w:r>
              <w:rPr>
                <w:sz w:val="20"/>
              </w:rPr>
              <w:t>SO</w:t>
            </w:r>
            <w:r>
              <w:rPr>
                <w:sz w:val="20"/>
                <w:vertAlign w:val="subscript"/>
              </w:rPr>
              <w:t>2</w:t>
            </w:r>
          </w:p>
        </w:tc>
        <w:tc>
          <w:tcPr>
            <w:tcW w:w="1847" w:type="dxa"/>
            <w:tcBorders>
              <w:right w:val="single" w:sz="4" w:space="0" w:color="auto"/>
            </w:tcBorders>
            <w:vAlign w:val="center"/>
          </w:tcPr>
          <w:p w:rsidR="003B2442" w:rsidRPr="003B0856" w:rsidRDefault="003B2442" w:rsidP="00262064">
            <w:pPr>
              <w:pStyle w:val="BodyText2"/>
              <w:widowControl w:val="0"/>
              <w:numPr>
                <w:ilvl w:val="0"/>
                <w:numId w:val="0"/>
              </w:numPr>
              <w:spacing w:after="0"/>
              <w:jc w:val="center"/>
              <w:rPr>
                <w:b/>
                <w:sz w:val="20"/>
                <w:vertAlign w:val="superscript"/>
              </w:rPr>
            </w:pPr>
            <w:r>
              <w:rPr>
                <w:sz w:val="20"/>
              </w:rPr>
              <w:t>0.0015% S in fuel</w:t>
            </w:r>
            <w:r w:rsidR="000E26E7" w:rsidRPr="000E26E7">
              <w:rPr>
                <w:b/>
                <w:sz w:val="20"/>
              </w:rPr>
              <w:t xml:space="preserve"> </w:t>
            </w:r>
            <w:r w:rsidR="003260CF">
              <w:rPr>
                <w:b/>
                <w:sz w:val="24"/>
                <w:szCs w:val="24"/>
                <w:vertAlign w:val="superscript"/>
              </w:rPr>
              <w:t>a</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val="restart"/>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b/>
                <w:sz w:val="20"/>
                <w:vertAlign w:val="superscript"/>
              </w:rPr>
            </w:pPr>
            <w:r w:rsidRPr="003F236C">
              <w:rPr>
                <w:sz w:val="20"/>
              </w:rPr>
              <w:t>FL-0363</w:t>
            </w:r>
            <w:r w:rsidR="000E26E7">
              <w:rPr>
                <w:sz w:val="20"/>
              </w:rPr>
              <w:t xml:space="preserve"> </w:t>
            </w:r>
            <w:r w:rsidR="000E26E7" w:rsidRPr="003260CF">
              <w:rPr>
                <w:b/>
                <w:sz w:val="24"/>
                <w:szCs w:val="24"/>
                <w:vertAlign w:val="superscript"/>
              </w:rPr>
              <w:fldChar w:fldCharType="begin"/>
            </w:r>
            <w:r w:rsidR="000E26E7" w:rsidRPr="003260CF">
              <w:rPr>
                <w:b/>
                <w:sz w:val="20"/>
                <w:vertAlign w:val="superscript"/>
              </w:rPr>
              <w:instrText xml:space="preserve"> REF _Ref511212100 \r \h </w:instrText>
            </w:r>
            <w:r w:rsidR="000E26E7" w:rsidRPr="003260CF">
              <w:rPr>
                <w:b/>
                <w:sz w:val="24"/>
                <w:szCs w:val="24"/>
                <w:vertAlign w:val="superscript"/>
              </w:rPr>
              <w:instrText xml:space="preserve"> \* MERGEFORMAT </w:instrText>
            </w:r>
            <w:r w:rsidR="000E26E7" w:rsidRPr="003260CF">
              <w:rPr>
                <w:b/>
                <w:sz w:val="24"/>
                <w:szCs w:val="24"/>
                <w:vertAlign w:val="superscript"/>
              </w:rPr>
            </w:r>
            <w:r w:rsidR="000E26E7" w:rsidRPr="003260CF">
              <w:rPr>
                <w:b/>
                <w:sz w:val="24"/>
                <w:szCs w:val="24"/>
                <w:vertAlign w:val="superscript"/>
              </w:rPr>
              <w:fldChar w:fldCharType="separate"/>
            </w:r>
            <w:r w:rsidR="003E3FA4" w:rsidRPr="003260CF">
              <w:rPr>
                <w:b/>
                <w:sz w:val="20"/>
                <w:vertAlign w:val="superscript"/>
              </w:rPr>
              <w:t>b</w:t>
            </w:r>
            <w:r w:rsidR="000E26E7" w:rsidRPr="003260CF">
              <w:rPr>
                <w:b/>
                <w:sz w:val="24"/>
                <w:szCs w:val="24"/>
                <w:vertAlign w:val="superscript"/>
              </w:rPr>
              <w:fldChar w:fldCharType="end"/>
            </w:r>
            <w:r w:rsidR="000E26E7" w:rsidRPr="003260CF">
              <w:rPr>
                <w:b/>
                <w:szCs w:val="24"/>
                <w:vertAlign w:val="superscript"/>
              </w:rPr>
              <w:t>,</w:t>
            </w:r>
            <w:r w:rsidR="000E26E7" w:rsidRPr="003260CF">
              <w:rPr>
                <w:b/>
                <w:szCs w:val="24"/>
                <w:vertAlign w:val="superscript"/>
              </w:rPr>
              <w:fldChar w:fldCharType="begin"/>
            </w:r>
            <w:r w:rsidR="000E26E7" w:rsidRPr="003260CF">
              <w:rPr>
                <w:b/>
                <w:szCs w:val="24"/>
                <w:vertAlign w:val="superscript"/>
              </w:rPr>
              <w:instrText xml:space="preserve"> REF _Ref511212102 \r \h  \* MERGEFORMAT </w:instrText>
            </w:r>
            <w:r w:rsidR="000E26E7" w:rsidRPr="003260CF">
              <w:rPr>
                <w:b/>
                <w:szCs w:val="24"/>
                <w:vertAlign w:val="superscript"/>
              </w:rPr>
            </w:r>
            <w:r w:rsidR="000E26E7" w:rsidRPr="003260CF">
              <w:rPr>
                <w:b/>
                <w:szCs w:val="24"/>
                <w:vertAlign w:val="superscript"/>
              </w:rPr>
              <w:fldChar w:fldCharType="separate"/>
            </w:r>
            <w:r w:rsidR="003E3FA4" w:rsidRPr="003260CF">
              <w:rPr>
                <w:b/>
                <w:szCs w:val="24"/>
                <w:vertAlign w:val="superscript"/>
              </w:rPr>
              <w:t>d</w:t>
            </w:r>
            <w:r w:rsidR="000E26E7" w:rsidRPr="003260CF">
              <w:rPr>
                <w:b/>
                <w:szCs w:val="24"/>
                <w:vertAlign w:val="superscript"/>
              </w:rPr>
              <w:fldChar w:fldCharType="end"/>
            </w:r>
          </w:p>
        </w:tc>
        <w:tc>
          <w:tcPr>
            <w:tcW w:w="1128" w:type="dxa"/>
            <w:vMerge w:val="restart"/>
            <w:vAlign w:val="center"/>
          </w:tcPr>
          <w:p w:rsidR="003B2442" w:rsidRPr="00E8321C" w:rsidRDefault="003B2442" w:rsidP="00262064">
            <w:pPr>
              <w:pStyle w:val="BodyText2"/>
              <w:widowControl w:val="0"/>
              <w:numPr>
                <w:ilvl w:val="0"/>
                <w:numId w:val="0"/>
              </w:numPr>
              <w:spacing w:after="0"/>
              <w:jc w:val="center"/>
              <w:rPr>
                <w:sz w:val="20"/>
              </w:rPr>
            </w:pPr>
            <w:r>
              <w:rPr>
                <w:sz w:val="20"/>
              </w:rPr>
              <w:t>12/04/2017</w:t>
            </w:r>
          </w:p>
        </w:tc>
        <w:tc>
          <w:tcPr>
            <w:tcW w:w="2424" w:type="dxa"/>
            <w:vMerge w:val="restart"/>
            <w:vAlign w:val="center"/>
          </w:tcPr>
          <w:p w:rsidR="003B2442" w:rsidRDefault="003B2442" w:rsidP="00262064">
            <w:pPr>
              <w:pStyle w:val="BodyText2"/>
              <w:widowControl w:val="0"/>
              <w:spacing w:after="0"/>
              <w:jc w:val="center"/>
              <w:rPr>
                <w:sz w:val="20"/>
              </w:rPr>
            </w:pPr>
            <w:r>
              <w:rPr>
                <w:sz w:val="20"/>
              </w:rPr>
              <w:t>3,300 kW Emergency Generator</w:t>
            </w:r>
          </w:p>
        </w:tc>
        <w:tc>
          <w:tcPr>
            <w:tcW w:w="1459" w:type="dxa"/>
            <w:vAlign w:val="center"/>
          </w:tcPr>
          <w:p w:rsidR="003B2442" w:rsidRPr="00A83901" w:rsidRDefault="003B2442" w:rsidP="00262064">
            <w:pPr>
              <w:pStyle w:val="BodyText2"/>
              <w:widowControl w:val="0"/>
              <w:numPr>
                <w:ilvl w:val="0"/>
                <w:numId w:val="0"/>
              </w:numPr>
              <w:spacing w:after="0"/>
              <w:jc w:val="center"/>
              <w:rPr>
                <w:sz w:val="20"/>
              </w:rPr>
            </w:pPr>
            <w:r>
              <w:rPr>
                <w:sz w:val="20"/>
              </w:rPr>
              <w:t>NMHC + NO</w:t>
            </w:r>
            <w:r>
              <w:rPr>
                <w:sz w:val="20"/>
                <w:vertAlign w:val="subscript"/>
              </w:rPr>
              <w:t>X</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6.4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spacing w:after="0"/>
              <w:jc w:val="center"/>
              <w:rPr>
                <w:sz w:val="20"/>
              </w:rPr>
            </w:pPr>
            <w:r>
              <w:rPr>
                <w:sz w:val="20"/>
              </w:rPr>
              <w:t>GCP</w:t>
            </w:r>
          </w:p>
        </w:tc>
      </w:tr>
      <w:tr w:rsidR="003B2442" w:rsidRPr="001B6505" w:rsidTr="003260CF">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CO</w:t>
            </w:r>
          </w:p>
        </w:tc>
        <w:tc>
          <w:tcPr>
            <w:tcW w:w="1847" w:type="dxa"/>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3.5 g/kW-hr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0.20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ULSD fuel</w:t>
            </w:r>
          </w:p>
        </w:tc>
      </w:tr>
      <w:tr w:rsidR="003B2442" w:rsidRPr="001B6505" w:rsidTr="003260CF">
        <w:trPr>
          <w:trHeight w:val="278"/>
        </w:trPr>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Pr="00301533" w:rsidRDefault="003B2442" w:rsidP="00262064">
            <w:pPr>
              <w:pStyle w:val="BodyText2"/>
              <w:widowControl w:val="0"/>
              <w:numPr>
                <w:ilvl w:val="0"/>
                <w:numId w:val="0"/>
              </w:numPr>
              <w:spacing w:after="0"/>
              <w:jc w:val="center"/>
              <w:rPr>
                <w:sz w:val="20"/>
              </w:rPr>
            </w:pPr>
            <w:r>
              <w:rPr>
                <w:sz w:val="20"/>
              </w:rPr>
              <w:t>SO</w:t>
            </w:r>
            <w:r>
              <w:rPr>
                <w:sz w:val="20"/>
                <w:vertAlign w:val="subscript"/>
              </w:rPr>
              <w:t>2</w:t>
            </w:r>
          </w:p>
        </w:tc>
        <w:tc>
          <w:tcPr>
            <w:tcW w:w="1847" w:type="dxa"/>
            <w:tcBorders>
              <w:right w:val="single" w:sz="4" w:space="0" w:color="auto"/>
            </w:tcBorders>
            <w:vAlign w:val="center"/>
          </w:tcPr>
          <w:p w:rsidR="003B2442" w:rsidRPr="003B0856" w:rsidRDefault="003B2442" w:rsidP="00262064">
            <w:pPr>
              <w:pStyle w:val="BodyText2"/>
              <w:widowControl w:val="0"/>
              <w:numPr>
                <w:ilvl w:val="0"/>
                <w:numId w:val="0"/>
              </w:numPr>
              <w:spacing w:after="0"/>
              <w:jc w:val="center"/>
              <w:rPr>
                <w:b/>
                <w:sz w:val="20"/>
                <w:vertAlign w:val="superscript"/>
              </w:rPr>
            </w:pPr>
            <w:r>
              <w:rPr>
                <w:sz w:val="20"/>
              </w:rPr>
              <w:t>0.0015% S in fuel</w:t>
            </w:r>
            <w:r w:rsidR="000E26E7" w:rsidRPr="000E26E7">
              <w:rPr>
                <w:b/>
                <w:sz w:val="20"/>
              </w:rPr>
              <w:t xml:space="preserve"> </w:t>
            </w:r>
            <w:r w:rsidR="003260CF">
              <w:rPr>
                <w:b/>
                <w:sz w:val="24"/>
                <w:szCs w:val="24"/>
                <w:vertAlign w:val="superscript"/>
              </w:rPr>
              <w:t>a</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restart"/>
            <w:vAlign w:val="center"/>
          </w:tcPr>
          <w:p w:rsidR="003B2442" w:rsidRDefault="003B2442" w:rsidP="00262064">
            <w:pPr>
              <w:pStyle w:val="BodyText2"/>
              <w:widowControl w:val="0"/>
              <w:spacing w:after="0"/>
              <w:jc w:val="center"/>
              <w:rPr>
                <w:sz w:val="20"/>
              </w:rPr>
            </w:pPr>
            <w:r>
              <w:rPr>
                <w:sz w:val="20"/>
              </w:rPr>
              <w:t>422 HP Fire Pump Engine</w:t>
            </w:r>
          </w:p>
        </w:tc>
        <w:tc>
          <w:tcPr>
            <w:tcW w:w="1459" w:type="dxa"/>
            <w:vAlign w:val="center"/>
          </w:tcPr>
          <w:p w:rsidR="003B2442" w:rsidRPr="00A83901" w:rsidRDefault="003B2442" w:rsidP="00262064">
            <w:pPr>
              <w:pStyle w:val="BodyText2"/>
              <w:widowControl w:val="0"/>
              <w:numPr>
                <w:ilvl w:val="0"/>
                <w:numId w:val="0"/>
              </w:numPr>
              <w:spacing w:after="0"/>
              <w:jc w:val="center"/>
              <w:rPr>
                <w:sz w:val="20"/>
              </w:rPr>
            </w:pPr>
            <w:r>
              <w:rPr>
                <w:sz w:val="20"/>
              </w:rPr>
              <w:t>NMHC + NO</w:t>
            </w:r>
            <w:r>
              <w:rPr>
                <w:sz w:val="20"/>
                <w:vertAlign w:val="subscript"/>
              </w:rPr>
              <w:t>X</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4.0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spacing w:after="0"/>
              <w:jc w:val="center"/>
              <w:rPr>
                <w:sz w:val="20"/>
              </w:rPr>
            </w:pPr>
            <w:r>
              <w:rPr>
                <w:sz w:val="20"/>
              </w:rPr>
              <w:t>GCP</w:t>
            </w:r>
          </w:p>
        </w:tc>
      </w:tr>
      <w:tr w:rsidR="003B2442" w:rsidRPr="001B6505" w:rsidTr="003260CF">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CO</w:t>
            </w:r>
          </w:p>
        </w:tc>
        <w:tc>
          <w:tcPr>
            <w:tcW w:w="1847" w:type="dxa"/>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3.5 g/kW-hr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0.20 g/kW-hr</w:t>
            </w:r>
          </w:p>
        </w:tc>
        <w:tc>
          <w:tcPr>
            <w:tcW w:w="1872" w:type="dxa"/>
            <w:vMerge w:val="restart"/>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ULSD fuel</w:t>
            </w:r>
          </w:p>
        </w:tc>
      </w:tr>
      <w:tr w:rsidR="003B2442" w:rsidRPr="001B6505" w:rsidTr="003260CF">
        <w:trPr>
          <w:trHeight w:val="197"/>
        </w:trPr>
        <w:tc>
          <w:tcPr>
            <w:tcW w:w="1227" w:type="dxa"/>
            <w:vMerge/>
            <w:tcBorders>
              <w:left w:val="single" w:sz="12" w:space="0" w:color="auto"/>
            </w:tcBorders>
            <w:vAlign w:val="center"/>
          </w:tcPr>
          <w:p w:rsidR="003B2442" w:rsidRPr="003F236C"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Pr="00301533" w:rsidRDefault="003B2442" w:rsidP="00262064">
            <w:pPr>
              <w:pStyle w:val="BodyText2"/>
              <w:widowControl w:val="0"/>
              <w:numPr>
                <w:ilvl w:val="0"/>
                <w:numId w:val="0"/>
              </w:numPr>
              <w:spacing w:after="0"/>
              <w:jc w:val="center"/>
              <w:rPr>
                <w:sz w:val="20"/>
              </w:rPr>
            </w:pPr>
            <w:r>
              <w:rPr>
                <w:sz w:val="20"/>
              </w:rPr>
              <w:t>SO</w:t>
            </w:r>
            <w:r>
              <w:rPr>
                <w:sz w:val="20"/>
                <w:vertAlign w:val="subscript"/>
              </w:rPr>
              <w:t>2</w:t>
            </w:r>
          </w:p>
        </w:tc>
        <w:tc>
          <w:tcPr>
            <w:tcW w:w="1847" w:type="dxa"/>
            <w:tcBorders>
              <w:right w:val="single" w:sz="4" w:space="0" w:color="auto"/>
            </w:tcBorders>
            <w:vAlign w:val="center"/>
          </w:tcPr>
          <w:p w:rsidR="003B2442" w:rsidRPr="003B0856" w:rsidRDefault="003B2442" w:rsidP="00262064">
            <w:pPr>
              <w:pStyle w:val="BodyText2"/>
              <w:widowControl w:val="0"/>
              <w:numPr>
                <w:ilvl w:val="0"/>
                <w:numId w:val="0"/>
              </w:numPr>
              <w:spacing w:after="0"/>
              <w:jc w:val="center"/>
              <w:rPr>
                <w:b/>
                <w:sz w:val="20"/>
                <w:vertAlign w:val="superscript"/>
              </w:rPr>
            </w:pPr>
            <w:r>
              <w:rPr>
                <w:sz w:val="20"/>
              </w:rPr>
              <w:t>0.0015% S in fuel</w:t>
            </w:r>
            <w:r w:rsidR="000E26E7" w:rsidRPr="000E26E7">
              <w:rPr>
                <w:b/>
                <w:sz w:val="20"/>
              </w:rPr>
              <w:t xml:space="preserve"> </w:t>
            </w:r>
            <w:r w:rsidR="003260CF">
              <w:rPr>
                <w:b/>
                <w:sz w:val="24"/>
                <w:szCs w:val="24"/>
                <w:vertAlign w:val="superscript"/>
              </w:rPr>
              <w:t>a</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194"/>
        </w:trPr>
        <w:tc>
          <w:tcPr>
            <w:tcW w:w="1227" w:type="dxa"/>
            <w:vMerge w:val="restart"/>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KY-0106</w:t>
            </w:r>
          </w:p>
        </w:tc>
        <w:tc>
          <w:tcPr>
            <w:tcW w:w="1128" w:type="dxa"/>
            <w:vMerge w:val="restart"/>
            <w:vAlign w:val="center"/>
          </w:tcPr>
          <w:p w:rsidR="003B2442" w:rsidRPr="00E8321C" w:rsidRDefault="003B2442" w:rsidP="00262064">
            <w:pPr>
              <w:pStyle w:val="BodyText2"/>
              <w:widowControl w:val="0"/>
              <w:numPr>
                <w:ilvl w:val="0"/>
                <w:numId w:val="0"/>
              </w:numPr>
              <w:spacing w:after="0"/>
              <w:jc w:val="center"/>
              <w:rPr>
                <w:sz w:val="20"/>
              </w:rPr>
            </w:pPr>
            <w:r>
              <w:rPr>
                <w:sz w:val="20"/>
              </w:rPr>
              <w:t>09/30/2016</w:t>
            </w:r>
          </w:p>
        </w:tc>
        <w:tc>
          <w:tcPr>
            <w:tcW w:w="2424" w:type="dxa"/>
            <w:vMerge w:val="restart"/>
            <w:vAlign w:val="center"/>
          </w:tcPr>
          <w:p w:rsidR="003B2442" w:rsidRPr="00E8321C" w:rsidRDefault="003B2442" w:rsidP="00262064">
            <w:pPr>
              <w:pStyle w:val="BodyText2"/>
              <w:widowControl w:val="0"/>
              <w:spacing w:after="0"/>
              <w:jc w:val="center"/>
              <w:rPr>
                <w:sz w:val="20"/>
              </w:rPr>
            </w:pPr>
            <w:r>
              <w:rPr>
                <w:sz w:val="20"/>
              </w:rPr>
              <w:t>1,000 HP Emergency Engine</w:t>
            </w:r>
          </w:p>
        </w:tc>
        <w:tc>
          <w:tcPr>
            <w:tcW w:w="1459" w:type="dxa"/>
            <w:vMerge w:val="restart"/>
            <w:vAlign w:val="center"/>
          </w:tcPr>
          <w:p w:rsidR="003B2442" w:rsidRPr="00903C22" w:rsidRDefault="003B2442" w:rsidP="00262064">
            <w:pPr>
              <w:pStyle w:val="BodyText2"/>
              <w:widowControl w:val="0"/>
              <w:numPr>
                <w:ilvl w:val="0"/>
                <w:numId w:val="0"/>
              </w:numPr>
              <w:spacing w:after="0"/>
              <w:jc w:val="center"/>
              <w:rPr>
                <w:sz w:val="20"/>
              </w:rPr>
            </w:pPr>
            <w:r>
              <w:rPr>
                <w:sz w:val="20"/>
              </w:rPr>
              <w:t>NO</w:t>
            </w:r>
            <w:r>
              <w:rPr>
                <w:sz w:val="20"/>
                <w:vertAlign w:val="subscript"/>
              </w:rPr>
              <w:t>X</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6.4 g/kW-hr</w:t>
            </w:r>
          </w:p>
        </w:tc>
        <w:tc>
          <w:tcPr>
            <w:tcW w:w="1872" w:type="dxa"/>
            <w:vMerge w:val="restart"/>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GCP and manufacturer’s instructions</w:t>
            </w:r>
          </w:p>
        </w:tc>
      </w:tr>
      <w:tr w:rsidR="003B2442" w:rsidRPr="001B6505" w:rsidTr="003260CF">
        <w:trPr>
          <w:trHeight w:val="194"/>
        </w:trPr>
        <w:tc>
          <w:tcPr>
            <w:tcW w:w="1227" w:type="dxa"/>
            <w:vMerge/>
            <w:tcBorders>
              <w:lef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c>
          <w:tcPr>
            <w:tcW w:w="1128" w:type="dxa"/>
            <w:vMerge/>
            <w:vAlign w:val="center"/>
          </w:tcPr>
          <w:p w:rsidR="003B2442" w:rsidRDefault="003B2442" w:rsidP="00262064">
            <w:pPr>
              <w:pStyle w:val="BodyText2"/>
              <w:widowControl w:val="0"/>
              <w:numPr>
                <w:ilvl w:val="0"/>
                <w:numId w:val="0"/>
              </w:numPr>
              <w:spacing w:after="0"/>
              <w:jc w:val="center"/>
              <w:rPr>
                <w:sz w:val="20"/>
              </w:rPr>
            </w:pPr>
          </w:p>
        </w:tc>
        <w:tc>
          <w:tcPr>
            <w:tcW w:w="2424" w:type="dxa"/>
            <w:vMerge/>
            <w:vAlign w:val="center"/>
          </w:tcPr>
          <w:p w:rsidR="003B2442" w:rsidRDefault="003B2442" w:rsidP="00262064">
            <w:pPr>
              <w:pStyle w:val="BodyText2"/>
              <w:widowControl w:val="0"/>
              <w:spacing w:after="0"/>
              <w:jc w:val="center"/>
              <w:rPr>
                <w:sz w:val="20"/>
              </w:rPr>
            </w:pPr>
          </w:p>
        </w:tc>
        <w:tc>
          <w:tcPr>
            <w:tcW w:w="1459" w:type="dxa"/>
            <w:vMerge/>
            <w:vAlign w:val="center"/>
          </w:tcPr>
          <w:p w:rsidR="003B2442" w:rsidRDefault="003B2442" w:rsidP="00262064">
            <w:pPr>
              <w:pStyle w:val="BodyText2"/>
              <w:widowControl w:val="0"/>
              <w:numPr>
                <w:ilvl w:val="0"/>
                <w:numId w:val="0"/>
              </w:numPr>
              <w:spacing w:after="0"/>
              <w:jc w:val="center"/>
              <w:rPr>
                <w:sz w:val="20"/>
              </w:rPr>
            </w:pP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10.6 lb/h</w:t>
            </w:r>
            <w:r w:rsidR="00782214">
              <w:rPr>
                <w:sz w:val="20"/>
              </w:rPr>
              <w:t>ou</w:t>
            </w:r>
            <w:r>
              <w:rPr>
                <w:sz w:val="20"/>
              </w:rPr>
              <w:t>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94"/>
        </w:trPr>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Merge w:val="restart"/>
            <w:vAlign w:val="center"/>
          </w:tcPr>
          <w:p w:rsidR="003B2442" w:rsidRDefault="003B2442" w:rsidP="00262064">
            <w:pPr>
              <w:pStyle w:val="BodyText2"/>
              <w:widowControl w:val="0"/>
              <w:numPr>
                <w:ilvl w:val="0"/>
                <w:numId w:val="0"/>
              </w:numPr>
              <w:spacing w:after="0"/>
              <w:jc w:val="center"/>
              <w:rPr>
                <w:sz w:val="20"/>
              </w:rPr>
            </w:pPr>
            <w:r>
              <w:rPr>
                <w:sz w:val="20"/>
              </w:rPr>
              <w:t>CO</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3.5 g/kW-hr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94"/>
        </w:trPr>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Merge/>
            <w:vAlign w:val="center"/>
          </w:tcPr>
          <w:p w:rsidR="003B2442" w:rsidRDefault="003B2442" w:rsidP="00262064">
            <w:pPr>
              <w:pStyle w:val="BodyText2"/>
              <w:widowControl w:val="0"/>
              <w:numPr>
                <w:ilvl w:val="0"/>
                <w:numId w:val="0"/>
              </w:numPr>
              <w:spacing w:after="0"/>
              <w:jc w:val="center"/>
              <w:rPr>
                <w:sz w:val="20"/>
              </w:rPr>
            </w:pP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5.8 lb/h</w:t>
            </w:r>
            <w:r w:rsidR="00782214">
              <w:rPr>
                <w:sz w:val="20"/>
              </w:rPr>
              <w:t>ou</w:t>
            </w:r>
            <w:r>
              <w:rPr>
                <w:sz w:val="20"/>
              </w:rPr>
              <w:t>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94"/>
        </w:trPr>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Merge w:val="restart"/>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0.20 g/kW-hr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70"/>
        </w:trPr>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Merge/>
            <w:vAlign w:val="center"/>
          </w:tcPr>
          <w:p w:rsidR="003B2442" w:rsidRDefault="003B2442" w:rsidP="00262064">
            <w:pPr>
              <w:pStyle w:val="BodyText2"/>
              <w:widowControl w:val="0"/>
              <w:numPr>
                <w:ilvl w:val="0"/>
                <w:numId w:val="0"/>
              </w:numPr>
              <w:spacing w:after="0"/>
              <w:jc w:val="center"/>
              <w:rPr>
                <w:sz w:val="20"/>
              </w:rPr>
            </w:pP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0.33 lb/h</w:t>
            </w:r>
            <w:r w:rsidR="00782214">
              <w:rPr>
                <w:sz w:val="20"/>
              </w:rPr>
              <w:t>ou</w:t>
            </w:r>
            <w:r>
              <w:rPr>
                <w:sz w:val="20"/>
              </w:rPr>
              <w:t>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Pr="00301533" w:rsidRDefault="003B2442" w:rsidP="00262064">
            <w:pPr>
              <w:pStyle w:val="BodyText2"/>
              <w:widowControl w:val="0"/>
              <w:numPr>
                <w:ilvl w:val="0"/>
                <w:numId w:val="0"/>
              </w:numPr>
              <w:spacing w:after="0"/>
              <w:jc w:val="center"/>
              <w:rPr>
                <w:sz w:val="20"/>
              </w:rPr>
            </w:pPr>
            <w:r>
              <w:rPr>
                <w:sz w:val="20"/>
              </w:rPr>
              <w:t>SO</w:t>
            </w:r>
            <w:r>
              <w:rPr>
                <w:sz w:val="20"/>
                <w:vertAlign w:val="subscript"/>
              </w:rPr>
              <w:t>2</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0.023 lb/h</w:t>
            </w:r>
            <w:r w:rsidR="00782214">
              <w:rPr>
                <w:sz w:val="20"/>
              </w:rPr>
              <w:t>ou</w:t>
            </w:r>
            <w:r>
              <w:rPr>
                <w:sz w:val="20"/>
              </w:rPr>
              <w:t>r</w:t>
            </w:r>
          </w:p>
        </w:tc>
        <w:tc>
          <w:tcPr>
            <w:tcW w:w="1872" w:type="dxa"/>
            <w:vMerge w:val="restart"/>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ULSD fuel</w:t>
            </w: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SAM</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0.005 lb/h</w:t>
            </w:r>
            <w:r w:rsidR="00782214">
              <w:rPr>
                <w:sz w:val="20"/>
              </w:rPr>
              <w:t>ou</w:t>
            </w:r>
            <w:r>
              <w:rPr>
                <w:sz w:val="20"/>
              </w:rPr>
              <w:t>r</w:t>
            </w:r>
          </w:p>
        </w:tc>
        <w:tc>
          <w:tcPr>
            <w:tcW w:w="187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c>
          <w:tcPr>
            <w:tcW w:w="1227" w:type="dxa"/>
            <w:vMerge/>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vAlign w:val="center"/>
          </w:tcPr>
          <w:p w:rsidR="003B2442" w:rsidRPr="00E8321C" w:rsidRDefault="003B2442" w:rsidP="00262064">
            <w:pPr>
              <w:pStyle w:val="BodyText2"/>
              <w:widowControl w:val="0"/>
              <w:spacing w:after="0"/>
              <w:jc w:val="center"/>
              <w:rPr>
                <w:sz w:val="20"/>
              </w:rPr>
            </w:pPr>
          </w:p>
        </w:tc>
        <w:tc>
          <w:tcPr>
            <w:tcW w:w="1459" w:type="dxa"/>
            <w:vAlign w:val="center"/>
          </w:tcPr>
          <w:p w:rsidR="003B2442" w:rsidRDefault="003B2442" w:rsidP="00262064">
            <w:pPr>
              <w:pStyle w:val="BodyText2"/>
              <w:widowControl w:val="0"/>
              <w:numPr>
                <w:ilvl w:val="0"/>
                <w:numId w:val="0"/>
              </w:numPr>
              <w:spacing w:after="0"/>
              <w:jc w:val="center"/>
              <w:rPr>
                <w:sz w:val="20"/>
              </w:rPr>
            </w:pPr>
            <w:r>
              <w:rPr>
                <w:sz w:val="20"/>
              </w:rPr>
              <w:t>VOC</w:t>
            </w:r>
          </w:p>
        </w:tc>
        <w:tc>
          <w:tcPr>
            <w:tcW w:w="1847" w:type="dxa"/>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1.27 lb/h</w:t>
            </w:r>
            <w:r w:rsidR="00782214">
              <w:rPr>
                <w:sz w:val="20"/>
              </w:rPr>
              <w:t>ou</w:t>
            </w:r>
            <w:r>
              <w:rPr>
                <w:sz w:val="20"/>
              </w:rPr>
              <w:t>r</w:t>
            </w:r>
          </w:p>
        </w:tc>
        <w:tc>
          <w:tcPr>
            <w:tcW w:w="1872" w:type="dxa"/>
            <w:vMerge w:val="restart"/>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GCP and manufacturer’s instructions</w:t>
            </w:r>
          </w:p>
        </w:tc>
      </w:tr>
      <w:tr w:rsidR="003B2442" w:rsidRPr="001B6505" w:rsidTr="003260CF">
        <w:tc>
          <w:tcPr>
            <w:tcW w:w="1227" w:type="dxa"/>
            <w:vMerge/>
            <w:tcBorders>
              <w:left w:val="single" w:sz="12" w:space="0" w:color="auto"/>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1128" w:type="dxa"/>
            <w:vMerge/>
            <w:tcBorders>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p>
        </w:tc>
        <w:tc>
          <w:tcPr>
            <w:tcW w:w="2424" w:type="dxa"/>
            <w:vMerge/>
            <w:tcBorders>
              <w:bottom w:val="single" w:sz="12" w:space="0" w:color="auto"/>
            </w:tcBorders>
            <w:vAlign w:val="center"/>
          </w:tcPr>
          <w:p w:rsidR="003B2442" w:rsidRPr="00E8321C" w:rsidRDefault="003B2442" w:rsidP="00262064">
            <w:pPr>
              <w:pStyle w:val="BodyText2"/>
              <w:widowControl w:val="0"/>
              <w:spacing w:after="0"/>
              <w:jc w:val="center"/>
              <w:rPr>
                <w:sz w:val="20"/>
              </w:rPr>
            </w:pPr>
          </w:p>
        </w:tc>
        <w:tc>
          <w:tcPr>
            <w:tcW w:w="1459" w:type="dxa"/>
            <w:tcBorders>
              <w:bottom w:val="single" w:sz="12" w:space="0" w:color="auto"/>
            </w:tcBorders>
            <w:vAlign w:val="center"/>
          </w:tcPr>
          <w:p w:rsidR="003B2442" w:rsidRPr="00EA3F0B" w:rsidRDefault="003B2442" w:rsidP="00262064">
            <w:pPr>
              <w:pStyle w:val="BodyText2"/>
              <w:widowControl w:val="0"/>
              <w:numPr>
                <w:ilvl w:val="0"/>
                <w:numId w:val="0"/>
              </w:numPr>
              <w:spacing w:after="0"/>
              <w:jc w:val="center"/>
              <w:rPr>
                <w:b/>
                <w:sz w:val="20"/>
                <w:vertAlign w:val="superscript"/>
              </w:rPr>
            </w:pPr>
            <w:r>
              <w:rPr>
                <w:sz w:val="20"/>
              </w:rPr>
              <w:t>GHG</w:t>
            </w:r>
            <w:r w:rsidR="000E26E7" w:rsidRPr="000E26E7">
              <w:rPr>
                <w:sz w:val="20"/>
                <w:vertAlign w:val="superscript"/>
              </w:rPr>
              <w:t xml:space="preserve"> </w:t>
            </w:r>
            <w:r w:rsidR="000E26E7" w:rsidRPr="000E26E7">
              <w:rPr>
                <w:b/>
                <w:sz w:val="24"/>
                <w:szCs w:val="24"/>
                <w:vertAlign w:val="superscript"/>
              </w:rPr>
              <w:fldChar w:fldCharType="begin"/>
            </w:r>
            <w:r w:rsidR="000E26E7" w:rsidRPr="000E26E7">
              <w:rPr>
                <w:b/>
                <w:sz w:val="20"/>
                <w:vertAlign w:val="superscript"/>
              </w:rPr>
              <w:instrText xml:space="preserve"> REF _Ref511211993 \r \h </w:instrText>
            </w:r>
            <w:r w:rsidR="000E26E7" w:rsidRPr="000E26E7">
              <w:rPr>
                <w:b/>
                <w:sz w:val="24"/>
                <w:szCs w:val="24"/>
                <w:vertAlign w:val="superscript"/>
              </w:rPr>
              <w:instrText xml:space="preserve"> \* MERGEFORMAT </w:instrText>
            </w:r>
            <w:r w:rsidR="000E26E7" w:rsidRPr="000E26E7">
              <w:rPr>
                <w:b/>
                <w:sz w:val="24"/>
                <w:szCs w:val="24"/>
                <w:vertAlign w:val="superscript"/>
              </w:rPr>
            </w:r>
            <w:r w:rsidR="000E26E7" w:rsidRPr="000E26E7">
              <w:rPr>
                <w:b/>
                <w:sz w:val="24"/>
                <w:szCs w:val="24"/>
                <w:vertAlign w:val="superscript"/>
              </w:rPr>
              <w:fldChar w:fldCharType="separate"/>
            </w:r>
            <w:r w:rsidR="003E3FA4">
              <w:rPr>
                <w:b/>
                <w:sz w:val="20"/>
                <w:vertAlign w:val="superscript"/>
              </w:rPr>
              <w:t>c</w:t>
            </w:r>
            <w:r w:rsidR="000E26E7" w:rsidRPr="000E26E7">
              <w:rPr>
                <w:b/>
                <w:sz w:val="24"/>
                <w:szCs w:val="24"/>
                <w:vertAlign w:val="superscript"/>
              </w:rPr>
              <w:fldChar w:fldCharType="end"/>
            </w:r>
          </w:p>
        </w:tc>
        <w:tc>
          <w:tcPr>
            <w:tcW w:w="1847" w:type="dxa"/>
            <w:tcBorders>
              <w:bottom w:val="single" w:sz="12" w:space="0" w:color="auto"/>
              <w:right w:val="single" w:sz="4"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1,029 lb/h</w:t>
            </w:r>
            <w:r w:rsidR="00782214">
              <w:rPr>
                <w:sz w:val="20"/>
              </w:rPr>
              <w:t>ou</w:t>
            </w:r>
            <w:r>
              <w:rPr>
                <w:sz w:val="20"/>
              </w:rPr>
              <w:t>r</w:t>
            </w:r>
          </w:p>
        </w:tc>
        <w:tc>
          <w:tcPr>
            <w:tcW w:w="1872" w:type="dxa"/>
            <w:vMerge/>
            <w:tcBorders>
              <w:left w:val="single" w:sz="4" w:space="0" w:color="auto"/>
              <w:bottom w:val="single" w:sz="12"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3260CF">
        <w:trPr>
          <w:trHeight w:val="1428"/>
        </w:trPr>
        <w:tc>
          <w:tcPr>
            <w:tcW w:w="9957" w:type="dxa"/>
            <w:gridSpan w:val="6"/>
            <w:tcBorders>
              <w:top w:val="single" w:sz="12" w:space="0" w:color="auto"/>
              <w:left w:val="single" w:sz="12" w:space="0" w:color="auto"/>
              <w:bottom w:val="single" w:sz="12" w:space="0" w:color="auto"/>
              <w:right w:val="single" w:sz="12" w:space="0" w:color="auto"/>
            </w:tcBorders>
          </w:tcPr>
          <w:p w:rsidR="00A13F09" w:rsidRDefault="00A13F09" w:rsidP="00A13F09">
            <w:pPr>
              <w:pStyle w:val="BodyText2"/>
              <w:widowControl w:val="0"/>
              <w:numPr>
                <w:ilvl w:val="0"/>
                <w:numId w:val="0"/>
              </w:numPr>
              <w:spacing w:after="0"/>
              <w:jc w:val="left"/>
              <w:rPr>
                <w:sz w:val="18"/>
              </w:rPr>
            </w:pPr>
            <w:bookmarkStart w:id="66" w:name="_Ref511211823"/>
            <w:r w:rsidRPr="00E8321C">
              <w:rPr>
                <w:sz w:val="20"/>
              </w:rPr>
              <w:t xml:space="preserve">Abbreviations:  </w:t>
            </w:r>
            <w:r>
              <w:rPr>
                <w:sz w:val="20"/>
              </w:rPr>
              <w:t>Non-methane Hydrocarbons (NMHC)</w:t>
            </w:r>
            <w:r w:rsidR="00251446">
              <w:rPr>
                <w:sz w:val="20"/>
              </w:rPr>
              <w:t xml:space="preserve">; </w:t>
            </w:r>
            <w:r w:rsidR="00663680" w:rsidRPr="00663680">
              <w:rPr>
                <w:sz w:val="20"/>
              </w:rPr>
              <w:t>g/kW-hr means grams per kilowatt-hour</w:t>
            </w:r>
            <w:r w:rsidR="00663680">
              <w:rPr>
                <w:sz w:val="20"/>
              </w:rPr>
              <w:t>.</w:t>
            </w:r>
          </w:p>
          <w:p w:rsidR="003B2442" w:rsidRPr="00226886" w:rsidRDefault="003B2442" w:rsidP="00A13F09">
            <w:pPr>
              <w:pStyle w:val="BodyText2"/>
              <w:widowControl w:val="0"/>
              <w:numPr>
                <w:ilvl w:val="0"/>
                <w:numId w:val="30"/>
              </w:numPr>
              <w:spacing w:before="60" w:after="0"/>
              <w:jc w:val="left"/>
              <w:rPr>
                <w:sz w:val="18"/>
              </w:rPr>
            </w:pPr>
            <w:r w:rsidRPr="00226886">
              <w:rPr>
                <w:sz w:val="18"/>
              </w:rPr>
              <w:t>Equivalen</w:t>
            </w:r>
            <w:r w:rsidR="00CB07FB">
              <w:rPr>
                <w:sz w:val="18"/>
              </w:rPr>
              <w:t>t to 15 parts per million of sulfur</w:t>
            </w:r>
            <w:r w:rsidRPr="00226886">
              <w:rPr>
                <w:sz w:val="18"/>
              </w:rPr>
              <w:t xml:space="preserve"> (on a per gallon basis).</w:t>
            </w:r>
            <w:bookmarkEnd w:id="66"/>
          </w:p>
          <w:p w:rsidR="003B2442" w:rsidRPr="00226886" w:rsidRDefault="003B2442" w:rsidP="0097001D">
            <w:pPr>
              <w:pStyle w:val="BodyText2"/>
              <w:widowControl w:val="0"/>
              <w:numPr>
                <w:ilvl w:val="0"/>
                <w:numId w:val="30"/>
              </w:numPr>
              <w:spacing w:after="0"/>
              <w:jc w:val="left"/>
              <w:rPr>
                <w:sz w:val="18"/>
              </w:rPr>
            </w:pPr>
            <w:bookmarkStart w:id="67" w:name="_Ref511212100"/>
            <w:r w:rsidRPr="00226886">
              <w:rPr>
                <w:sz w:val="18"/>
              </w:rPr>
              <w:t>These limits are pursuant to 40 CFR 60, Subpart IIII.</w:t>
            </w:r>
            <w:bookmarkEnd w:id="67"/>
          </w:p>
          <w:p w:rsidR="003B2442" w:rsidRPr="00226886" w:rsidRDefault="003B2442" w:rsidP="0097001D">
            <w:pPr>
              <w:pStyle w:val="BodyText2"/>
              <w:widowControl w:val="0"/>
              <w:numPr>
                <w:ilvl w:val="0"/>
                <w:numId w:val="30"/>
              </w:numPr>
              <w:spacing w:after="0"/>
              <w:jc w:val="left"/>
              <w:rPr>
                <w:sz w:val="18"/>
              </w:rPr>
            </w:pPr>
            <w:bookmarkStart w:id="68" w:name="_Ref511211993"/>
            <w:r w:rsidRPr="00226886">
              <w:rPr>
                <w:sz w:val="18"/>
              </w:rPr>
              <w:t>GHG limits are given in terms of carbon dioxide equivalent (CO</w:t>
            </w:r>
            <w:r w:rsidRPr="00226886">
              <w:rPr>
                <w:sz w:val="18"/>
                <w:vertAlign w:val="subscript"/>
              </w:rPr>
              <w:t>2</w:t>
            </w:r>
            <w:r w:rsidRPr="00226886">
              <w:rPr>
                <w:sz w:val="18"/>
              </w:rPr>
              <w:t>e)</w:t>
            </w:r>
            <w:bookmarkEnd w:id="68"/>
          </w:p>
          <w:p w:rsidR="003B2442" w:rsidRPr="00A83901" w:rsidRDefault="003B2442" w:rsidP="0097001D">
            <w:pPr>
              <w:pStyle w:val="BodyText2"/>
              <w:widowControl w:val="0"/>
              <w:numPr>
                <w:ilvl w:val="0"/>
                <w:numId w:val="30"/>
              </w:numPr>
              <w:spacing w:after="0"/>
              <w:jc w:val="left"/>
              <w:rPr>
                <w:sz w:val="20"/>
              </w:rPr>
            </w:pPr>
            <w:bookmarkStart w:id="69" w:name="_Ref511212102"/>
            <w:r w:rsidRPr="00226886">
              <w:rPr>
                <w:sz w:val="18"/>
              </w:rPr>
              <w:t>This project was not subject to PSD review for NO</w:t>
            </w:r>
            <w:r w:rsidRPr="00226886">
              <w:rPr>
                <w:sz w:val="18"/>
                <w:vertAlign w:val="subscript"/>
              </w:rPr>
              <w:t>X</w:t>
            </w:r>
            <w:r w:rsidRPr="00226886">
              <w:rPr>
                <w:sz w:val="18"/>
              </w:rPr>
              <w:t>, and the limit was imposed at the applicant’s request, i.e. the limit does not constitute BACT.  However, the requested limit is consistent with BACT determinations for similar projects.</w:t>
            </w:r>
            <w:bookmarkEnd w:id="69"/>
          </w:p>
        </w:tc>
      </w:tr>
    </w:tbl>
    <w:p w:rsidR="004268B8" w:rsidRDefault="004268B8" w:rsidP="00451599">
      <w:pPr>
        <w:widowControl w:val="0"/>
        <w:spacing w:before="120" w:after="120"/>
        <w:rPr>
          <w:sz w:val="22"/>
          <w:szCs w:val="22"/>
        </w:rPr>
      </w:pPr>
      <w:r>
        <w:rPr>
          <w:sz w:val="22"/>
          <w:szCs w:val="22"/>
        </w:rPr>
        <w:t>In addition to the BACT determination, t</w:t>
      </w:r>
      <w:r w:rsidR="00451599" w:rsidRPr="00451599">
        <w:rPr>
          <w:sz w:val="22"/>
          <w:szCs w:val="22"/>
        </w:rPr>
        <w:t xml:space="preserve">he </w:t>
      </w:r>
      <w:r w:rsidR="00E1443F" w:rsidRPr="00E1443F">
        <w:rPr>
          <w:sz w:val="22"/>
          <w:szCs w:val="22"/>
        </w:rPr>
        <w:t xml:space="preserve">diesel engines will also meet the requirements of NSPS, Subpart IIII, and NESHAP, Subpart ZZZZ, by certifying the performance standards.  These units </w:t>
      </w:r>
      <w:r w:rsidR="00315C3C" w:rsidRPr="00315C3C">
        <w:rPr>
          <w:sz w:val="22"/>
          <w:szCs w:val="22"/>
        </w:rPr>
        <w:t>must be operated according to 40 CFR 60.4211(f)</w:t>
      </w:r>
      <w:r>
        <w:rPr>
          <w:sz w:val="22"/>
          <w:szCs w:val="22"/>
        </w:rPr>
        <w:t xml:space="preserve"> and </w:t>
      </w:r>
      <w:r w:rsidR="00E1443F" w:rsidRPr="00E1443F">
        <w:rPr>
          <w:sz w:val="22"/>
          <w:szCs w:val="22"/>
        </w:rPr>
        <w:t>will maximize efficiency while meeting the required emissions standards</w:t>
      </w:r>
      <w:r>
        <w:rPr>
          <w:sz w:val="22"/>
          <w:szCs w:val="22"/>
        </w:rPr>
        <w:t>, pursuant to NSPS, Subpart IIII:</w:t>
      </w:r>
    </w:p>
    <w:p w:rsidR="00251446" w:rsidRPr="00251446" w:rsidRDefault="00251446" w:rsidP="00752E0D">
      <w:pPr>
        <w:widowControl w:val="0"/>
        <w:spacing w:before="120"/>
        <w:rPr>
          <w:sz w:val="22"/>
          <w:szCs w:val="22"/>
          <w:u w:val="single"/>
        </w:rPr>
      </w:pPr>
      <w:r w:rsidRPr="00251446">
        <w:rPr>
          <w:sz w:val="22"/>
          <w:szCs w:val="22"/>
          <w:u w:val="single"/>
        </w:rPr>
        <w:t>1,500 kW Emergency Generator</w:t>
      </w:r>
    </w:p>
    <w:p w:rsidR="00762FA0" w:rsidRPr="004518E0" w:rsidRDefault="004268B8" w:rsidP="00752E0D">
      <w:pPr>
        <w:pStyle w:val="ListParagraph"/>
        <w:widowControl w:val="0"/>
        <w:numPr>
          <w:ilvl w:val="0"/>
          <w:numId w:val="37"/>
        </w:numPr>
        <w:contextualSpacing w:val="0"/>
        <w:rPr>
          <w:sz w:val="22"/>
          <w:szCs w:val="22"/>
        </w:rPr>
      </w:pPr>
      <w:r w:rsidRPr="004518E0">
        <w:rPr>
          <w:i/>
          <w:sz w:val="22"/>
          <w:szCs w:val="22"/>
        </w:rPr>
        <w:t>NMHC + NO</w:t>
      </w:r>
      <w:r w:rsidRPr="004518E0">
        <w:rPr>
          <w:i/>
          <w:sz w:val="22"/>
          <w:szCs w:val="22"/>
          <w:vertAlign w:val="subscript"/>
        </w:rPr>
        <w:t>X</w:t>
      </w:r>
      <w:r w:rsidR="00251446" w:rsidRPr="004518E0">
        <w:rPr>
          <w:sz w:val="22"/>
          <w:szCs w:val="22"/>
        </w:rPr>
        <w:t>:  6.4 g/kW-hr</w:t>
      </w:r>
    </w:p>
    <w:p w:rsidR="004268B8" w:rsidRPr="004518E0" w:rsidRDefault="00251446" w:rsidP="00752E0D">
      <w:pPr>
        <w:pStyle w:val="ListParagraph"/>
        <w:widowControl w:val="0"/>
        <w:numPr>
          <w:ilvl w:val="0"/>
          <w:numId w:val="37"/>
        </w:numPr>
        <w:contextualSpacing w:val="0"/>
        <w:rPr>
          <w:sz w:val="22"/>
          <w:szCs w:val="22"/>
        </w:rPr>
      </w:pPr>
      <w:r w:rsidRPr="004518E0">
        <w:rPr>
          <w:i/>
          <w:sz w:val="22"/>
          <w:szCs w:val="22"/>
        </w:rPr>
        <w:t>CO</w:t>
      </w:r>
      <w:r w:rsidRPr="004518E0">
        <w:rPr>
          <w:sz w:val="22"/>
          <w:szCs w:val="22"/>
        </w:rPr>
        <w:t>:</w:t>
      </w:r>
      <w:r w:rsidR="004518E0">
        <w:rPr>
          <w:sz w:val="22"/>
          <w:szCs w:val="22"/>
        </w:rPr>
        <w:t xml:space="preserve">  3.5</w:t>
      </w:r>
      <w:r w:rsidR="004518E0" w:rsidRPr="004518E0">
        <w:t xml:space="preserve"> </w:t>
      </w:r>
      <w:r w:rsidR="004518E0" w:rsidRPr="004518E0">
        <w:rPr>
          <w:sz w:val="22"/>
          <w:szCs w:val="22"/>
        </w:rPr>
        <w:t>g/kW-hr</w:t>
      </w:r>
    </w:p>
    <w:p w:rsidR="00251446" w:rsidRPr="004518E0" w:rsidRDefault="00251446" w:rsidP="00752E0D">
      <w:pPr>
        <w:pStyle w:val="ListParagraph"/>
        <w:widowControl w:val="0"/>
        <w:numPr>
          <w:ilvl w:val="0"/>
          <w:numId w:val="37"/>
        </w:numPr>
        <w:contextualSpacing w:val="0"/>
        <w:rPr>
          <w:sz w:val="22"/>
          <w:szCs w:val="22"/>
        </w:rPr>
      </w:pPr>
      <w:r w:rsidRPr="00752E0D">
        <w:rPr>
          <w:sz w:val="22"/>
          <w:szCs w:val="22"/>
        </w:rPr>
        <w:t>PM</w:t>
      </w:r>
      <w:r w:rsidRPr="004518E0">
        <w:rPr>
          <w:sz w:val="22"/>
          <w:szCs w:val="22"/>
        </w:rPr>
        <w:t>:</w:t>
      </w:r>
      <w:r w:rsidR="004518E0">
        <w:rPr>
          <w:sz w:val="22"/>
          <w:szCs w:val="22"/>
        </w:rPr>
        <w:t xml:space="preserve">  0.20</w:t>
      </w:r>
      <w:r w:rsidR="004518E0" w:rsidRPr="00752E0D">
        <w:rPr>
          <w:sz w:val="22"/>
          <w:szCs w:val="22"/>
        </w:rPr>
        <w:t xml:space="preserve"> </w:t>
      </w:r>
      <w:r w:rsidR="004518E0" w:rsidRPr="004518E0">
        <w:rPr>
          <w:sz w:val="22"/>
          <w:szCs w:val="22"/>
        </w:rPr>
        <w:t>g/kW-hr</w:t>
      </w:r>
    </w:p>
    <w:p w:rsidR="004518E0" w:rsidRPr="004518E0" w:rsidRDefault="004518E0" w:rsidP="00752E0D">
      <w:pPr>
        <w:widowControl w:val="0"/>
        <w:spacing w:before="120"/>
        <w:rPr>
          <w:i/>
          <w:sz w:val="22"/>
          <w:szCs w:val="22"/>
        </w:rPr>
      </w:pPr>
      <w:r w:rsidRPr="004518E0">
        <w:rPr>
          <w:sz w:val="22"/>
          <w:szCs w:val="22"/>
          <w:u w:val="single"/>
        </w:rPr>
        <w:t>347 BHP</w:t>
      </w:r>
      <w:r>
        <w:rPr>
          <w:sz w:val="22"/>
          <w:szCs w:val="22"/>
          <w:u w:val="single"/>
        </w:rPr>
        <w:t xml:space="preserve"> Diesel F</w:t>
      </w:r>
      <w:r w:rsidRPr="004518E0">
        <w:rPr>
          <w:sz w:val="22"/>
          <w:szCs w:val="22"/>
          <w:u w:val="single"/>
        </w:rPr>
        <w:t xml:space="preserve">ire </w:t>
      </w:r>
      <w:r>
        <w:rPr>
          <w:sz w:val="22"/>
          <w:szCs w:val="22"/>
          <w:u w:val="single"/>
        </w:rPr>
        <w:t>P</w:t>
      </w:r>
      <w:r w:rsidRPr="004518E0">
        <w:rPr>
          <w:sz w:val="22"/>
          <w:szCs w:val="22"/>
          <w:u w:val="single"/>
        </w:rPr>
        <w:t xml:space="preserve">ump </w:t>
      </w:r>
      <w:r>
        <w:rPr>
          <w:sz w:val="22"/>
          <w:szCs w:val="22"/>
          <w:u w:val="single"/>
        </w:rPr>
        <w:t>E</w:t>
      </w:r>
      <w:r w:rsidRPr="004518E0">
        <w:rPr>
          <w:sz w:val="22"/>
          <w:szCs w:val="22"/>
          <w:u w:val="single"/>
        </w:rPr>
        <w:t>ngine</w:t>
      </w:r>
    </w:p>
    <w:p w:rsidR="004518E0" w:rsidRPr="004518E0" w:rsidRDefault="004518E0" w:rsidP="00752E0D">
      <w:pPr>
        <w:pStyle w:val="ListParagraph"/>
        <w:widowControl w:val="0"/>
        <w:numPr>
          <w:ilvl w:val="0"/>
          <w:numId w:val="37"/>
        </w:numPr>
        <w:contextualSpacing w:val="0"/>
        <w:rPr>
          <w:sz w:val="22"/>
          <w:szCs w:val="22"/>
        </w:rPr>
      </w:pPr>
      <w:r w:rsidRPr="004518E0">
        <w:rPr>
          <w:i/>
          <w:sz w:val="22"/>
          <w:szCs w:val="22"/>
        </w:rPr>
        <w:t>NMHC + NO</w:t>
      </w:r>
      <w:r w:rsidRPr="004518E0">
        <w:rPr>
          <w:i/>
          <w:sz w:val="22"/>
          <w:szCs w:val="22"/>
          <w:vertAlign w:val="subscript"/>
        </w:rPr>
        <w:t>X</w:t>
      </w:r>
      <w:r w:rsidRPr="004518E0">
        <w:rPr>
          <w:sz w:val="22"/>
          <w:szCs w:val="22"/>
        </w:rPr>
        <w:t xml:space="preserve">:  </w:t>
      </w:r>
      <w:r w:rsidR="00663680">
        <w:rPr>
          <w:sz w:val="22"/>
          <w:szCs w:val="22"/>
        </w:rPr>
        <w:t xml:space="preserve">4.0 </w:t>
      </w:r>
      <w:r w:rsidRPr="004518E0">
        <w:rPr>
          <w:sz w:val="22"/>
          <w:szCs w:val="22"/>
        </w:rPr>
        <w:t>g/kW-hr</w:t>
      </w:r>
    </w:p>
    <w:p w:rsidR="00663680" w:rsidRPr="004518E0" w:rsidRDefault="00663680" w:rsidP="00752E0D">
      <w:pPr>
        <w:pStyle w:val="ListParagraph"/>
        <w:widowControl w:val="0"/>
        <w:numPr>
          <w:ilvl w:val="0"/>
          <w:numId w:val="37"/>
        </w:numPr>
        <w:contextualSpacing w:val="0"/>
        <w:rPr>
          <w:sz w:val="22"/>
          <w:szCs w:val="22"/>
        </w:rPr>
      </w:pPr>
      <w:r w:rsidRPr="004518E0">
        <w:rPr>
          <w:i/>
          <w:sz w:val="22"/>
          <w:szCs w:val="22"/>
        </w:rPr>
        <w:t>CO</w:t>
      </w:r>
      <w:r w:rsidRPr="004518E0">
        <w:rPr>
          <w:sz w:val="22"/>
          <w:szCs w:val="22"/>
        </w:rPr>
        <w:t>:</w:t>
      </w:r>
      <w:r>
        <w:rPr>
          <w:sz w:val="22"/>
          <w:szCs w:val="22"/>
        </w:rPr>
        <w:t xml:space="preserve">  3.5</w:t>
      </w:r>
      <w:r w:rsidRPr="004518E0">
        <w:t xml:space="preserve"> </w:t>
      </w:r>
      <w:r w:rsidRPr="004518E0">
        <w:rPr>
          <w:sz w:val="22"/>
          <w:szCs w:val="22"/>
        </w:rPr>
        <w:t>g/kW-hr</w:t>
      </w:r>
    </w:p>
    <w:p w:rsidR="00663680" w:rsidRPr="004518E0" w:rsidRDefault="00663680" w:rsidP="00CB07FB">
      <w:pPr>
        <w:pStyle w:val="ListParagraph"/>
        <w:widowControl w:val="0"/>
        <w:numPr>
          <w:ilvl w:val="0"/>
          <w:numId w:val="37"/>
        </w:numPr>
        <w:spacing w:after="120"/>
        <w:contextualSpacing w:val="0"/>
        <w:rPr>
          <w:sz w:val="22"/>
          <w:szCs w:val="22"/>
        </w:rPr>
      </w:pPr>
      <w:r w:rsidRPr="00752E0D">
        <w:rPr>
          <w:sz w:val="22"/>
          <w:szCs w:val="22"/>
        </w:rPr>
        <w:t>PM</w:t>
      </w:r>
      <w:r w:rsidRPr="004518E0">
        <w:rPr>
          <w:sz w:val="22"/>
          <w:szCs w:val="22"/>
        </w:rPr>
        <w:t>:</w:t>
      </w:r>
      <w:r>
        <w:rPr>
          <w:sz w:val="22"/>
          <w:szCs w:val="22"/>
        </w:rPr>
        <w:t xml:space="preserve">  0.20</w:t>
      </w:r>
      <w:r w:rsidRPr="00752E0D">
        <w:rPr>
          <w:sz w:val="22"/>
          <w:szCs w:val="22"/>
        </w:rPr>
        <w:t xml:space="preserve"> </w:t>
      </w:r>
      <w:r w:rsidRPr="004518E0">
        <w:rPr>
          <w:sz w:val="22"/>
          <w:szCs w:val="22"/>
        </w:rPr>
        <w:t>g/kW-hr</w:t>
      </w:r>
    </w:p>
    <w:p w:rsidR="00190881" w:rsidRPr="00CB07FB" w:rsidRDefault="003B2442" w:rsidP="00CB07FB">
      <w:pPr>
        <w:pStyle w:val="ListParagraph"/>
        <w:widowControl w:val="0"/>
        <w:numPr>
          <w:ilvl w:val="1"/>
          <w:numId w:val="3"/>
        </w:numPr>
        <w:spacing w:after="120"/>
        <w:ind w:left="720" w:hanging="720"/>
        <w:contextualSpacing w:val="0"/>
        <w:rPr>
          <w:b/>
          <w:caps/>
          <w:sz w:val="22"/>
          <w:szCs w:val="22"/>
        </w:rPr>
      </w:pPr>
      <w:r w:rsidRPr="003B2442">
        <w:rPr>
          <w:b/>
          <w:sz w:val="22"/>
          <w:szCs w:val="22"/>
        </w:rPr>
        <w:t xml:space="preserve">Mechanical Draft Cooling </w:t>
      </w:r>
      <w:r w:rsidR="001338C8">
        <w:rPr>
          <w:b/>
          <w:sz w:val="22"/>
          <w:szCs w:val="22"/>
        </w:rPr>
        <w:t>Tower</w:t>
      </w:r>
      <w:r w:rsidR="00804A73">
        <w:rPr>
          <w:b/>
          <w:sz w:val="22"/>
          <w:szCs w:val="22"/>
        </w:rPr>
        <w:t xml:space="preserve"> (EU </w:t>
      </w:r>
      <w:r w:rsidR="00E86E4C">
        <w:rPr>
          <w:b/>
          <w:sz w:val="22"/>
          <w:szCs w:val="22"/>
        </w:rPr>
        <w:t>005</w:t>
      </w:r>
      <w:r w:rsidR="00804A73">
        <w:rPr>
          <w:b/>
          <w:sz w:val="22"/>
          <w:szCs w:val="22"/>
        </w:rPr>
        <w:t>)</w:t>
      </w:r>
    </w:p>
    <w:p w:rsidR="00205948" w:rsidRPr="00A12BE9" w:rsidRDefault="00FE31E7" w:rsidP="00192982">
      <w:pPr>
        <w:widowControl w:val="0"/>
        <w:spacing w:after="120"/>
        <w:rPr>
          <w:sz w:val="22"/>
          <w:szCs w:val="22"/>
        </w:rPr>
      </w:pPr>
      <w:r>
        <w:rPr>
          <w:sz w:val="22"/>
          <w:szCs w:val="22"/>
        </w:rPr>
        <w:t>S</w:t>
      </w:r>
      <w:r w:rsidRPr="00A12BE9">
        <w:rPr>
          <w:sz w:val="22"/>
          <w:szCs w:val="22"/>
        </w:rPr>
        <w:t xml:space="preserve">team turbine condenser cooling will be provided by </w:t>
      </w:r>
      <w:r>
        <w:rPr>
          <w:sz w:val="22"/>
          <w:szCs w:val="22"/>
        </w:rPr>
        <w:t xml:space="preserve">a </w:t>
      </w:r>
      <w:r w:rsidRPr="00A12BE9">
        <w:rPr>
          <w:sz w:val="22"/>
          <w:szCs w:val="22"/>
        </w:rPr>
        <w:t>cooling tower.</w:t>
      </w:r>
      <w:r>
        <w:rPr>
          <w:sz w:val="22"/>
          <w:szCs w:val="22"/>
        </w:rPr>
        <w:t xml:space="preserve">  The cooling tower</w:t>
      </w:r>
      <w:r w:rsidRPr="00192982">
        <w:rPr>
          <w:sz w:val="22"/>
          <w:szCs w:val="22"/>
        </w:rPr>
        <w:t xml:space="preserve"> is anticipated to be a 6-cell tower</w:t>
      </w:r>
      <w:r>
        <w:rPr>
          <w:sz w:val="22"/>
          <w:szCs w:val="22"/>
        </w:rPr>
        <w:t xml:space="preserve"> </w:t>
      </w:r>
      <w:r w:rsidRPr="00192982">
        <w:rPr>
          <w:sz w:val="22"/>
          <w:szCs w:val="22"/>
        </w:rPr>
        <w:t xml:space="preserve">design. </w:t>
      </w:r>
      <w:r>
        <w:rPr>
          <w:sz w:val="22"/>
          <w:szCs w:val="22"/>
        </w:rPr>
        <w:t xml:space="preserve"> </w:t>
      </w:r>
      <w:r w:rsidR="00192982" w:rsidRPr="00192982">
        <w:rPr>
          <w:sz w:val="22"/>
          <w:szCs w:val="22"/>
        </w:rPr>
        <w:t xml:space="preserve">The cooling system uses a fan to move air through a re-circulated water system. </w:t>
      </w:r>
      <w:r w:rsidR="00192982">
        <w:rPr>
          <w:sz w:val="22"/>
          <w:szCs w:val="22"/>
        </w:rPr>
        <w:t xml:space="preserve"> </w:t>
      </w:r>
      <w:r>
        <w:rPr>
          <w:sz w:val="22"/>
          <w:szCs w:val="22"/>
        </w:rPr>
        <w:t>A</w:t>
      </w:r>
      <w:r w:rsidRPr="00FE31E7">
        <w:rPr>
          <w:sz w:val="22"/>
          <w:szCs w:val="22"/>
        </w:rPr>
        <w:t xml:space="preserve"> very small amount of the circulating water may be entrained in the air stream and be carried out of the tower as “drift” droplets. </w:t>
      </w:r>
      <w:r>
        <w:rPr>
          <w:sz w:val="22"/>
          <w:szCs w:val="22"/>
        </w:rPr>
        <w:t xml:space="preserve"> </w:t>
      </w:r>
      <w:r w:rsidRPr="00FE31E7">
        <w:rPr>
          <w:sz w:val="22"/>
          <w:szCs w:val="22"/>
        </w:rPr>
        <w:t xml:space="preserve">Because the drift droplets contain the same chemical impurities as the water circulating through the tower, the </w:t>
      </w:r>
      <w:r>
        <w:rPr>
          <w:sz w:val="22"/>
          <w:szCs w:val="22"/>
        </w:rPr>
        <w:t>PM</w:t>
      </w:r>
      <w:r w:rsidRPr="00FE31E7">
        <w:rPr>
          <w:sz w:val="22"/>
          <w:szCs w:val="22"/>
        </w:rPr>
        <w:t xml:space="preserve"> constituent of the drift droplets may be classified as an emission. </w:t>
      </w:r>
      <w:r>
        <w:rPr>
          <w:sz w:val="22"/>
          <w:szCs w:val="22"/>
        </w:rPr>
        <w:t xml:space="preserve"> Therefore, t</w:t>
      </w:r>
      <w:r w:rsidRPr="00192982">
        <w:rPr>
          <w:sz w:val="22"/>
          <w:szCs w:val="22"/>
        </w:rPr>
        <w:t>his section contains the BACT analysis for the PM/PM</w:t>
      </w:r>
      <w:r w:rsidRPr="00A3051E">
        <w:rPr>
          <w:sz w:val="22"/>
          <w:szCs w:val="22"/>
          <w:vertAlign w:val="subscript"/>
        </w:rPr>
        <w:t>10</w:t>
      </w:r>
      <w:r w:rsidRPr="00192982">
        <w:rPr>
          <w:sz w:val="22"/>
          <w:szCs w:val="22"/>
        </w:rPr>
        <w:t>/PM</w:t>
      </w:r>
      <w:r w:rsidRPr="00A3051E">
        <w:rPr>
          <w:sz w:val="22"/>
          <w:szCs w:val="22"/>
          <w:vertAlign w:val="subscript"/>
        </w:rPr>
        <w:t>2.5</w:t>
      </w:r>
      <w:r w:rsidRPr="00A3051E">
        <w:rPr>
          <w:sz w:val="22"/>
          <w:szCs w:val="22"/>
        </w:rPr>
        <w:t xml:space="preserve"> </w:t>
      </w:r>
      <w:r w:rsidRPr="00192982">
        <w:rPr>
          <w:sz w:val="22"/>
          <w:szCs w:val="22"/>
        </w:rPr>
        <w:t>emiss</w:t>
      </w:r>
      <w:r>
        <w:rPr>
          <w:sz w:val="22"/>
          <w:szCs w:val="22"/>
        </w:rPr>
        <w:t xml:space="preserve">ions, collectively referred as </w:t>
      </w:r>
      <w:r w:rsidRPr="00192982">
        <w:rPr>
          <w:sz w:val="22"/>
          <w:szCs w:val="22"/>
        </w:rPr>
        <w:t>PM</w:t>
      </w:r>
      <w:r>
        <w:rPr>
          <w:sz w:val="22"/>
          <w:szCs w:val="22"/>
        </w:rPr>
        <w:t xml:space="preserve"> </w:t>
      </w:r>
      <w:r w:rsidRPr="00192982">
        <w:rPr>
          <w:sz w:val="22"/>
          <w:szCs w:val="22"/>
        </w:rPr>
        <w:t>emissions from the mechanical draft cooling tower for the Project</w:t>
      </w:r>
      <w:r>
        <w:rPr>
          <w:sz w:val="22"/>
          <w:szCs w:val="22"/>
        </w:rPr>
        <w:t>.</w:t>
      </w:r>
    </w:p>
    <w:p w:rsidR="002937DA" w:rsidRPr="006C19BE" w:rsidRDefault="002937DA" w:rsidP="002937DA">
      <w:pPr>
        <w:widowControl w:val="0"/>
        <w:spacing w:after="120"/>
        <w:rPr>
          <w:sz w:val="22"/>
          <w:szCs w:val="22"/>
          <w:u w:val="single"/>
        </w:rPr>
      </w:pPr>
      <w:r w:rsidRPr="006C19BE">
        <w:rPr>
          <w:sz w:val="22"/>
          <w:szCs w:val="22"/>
          <w:u w:val="single"/>
        </w:rPr>
        <w:t>Identification of Control Technologies</w:t>
      </w:r>
    </w:p>
    <w:p w:rsidR="002937DA" w:rsidRPr="00DB4753" w:rsidRDefault="004A4ACA" w:rsidP="004A4ACA">
      <w:pPr>
        <w:widowControl w:val="0"/>
        <w:spacing w:after="120"/>
        <w:rPr>
          <w:sz w:val="22"/>
          <w:szCs w:val="22"/>
        </w:rPr>
      </w:pPr>
      <w:r w:rsidRPr="004A4ACA">
        <w:rPr>
          <w:sz w:val="22"/>
          <w:szCs w:val="22"/>
        </w:rPr>
        <w:t>The magnitude of the drift loss is influenced by the number and size of droplets</w:t>
      </w:r>
      <w:r>
        <w:rPr>
          <w:sz w:val="22"/>
          <w:szCs w:val="22"/>
        </w:rPr>
        <w:t xml:space="preserve"> </w:t>
      </w:r>
      <w:r w:rsidRPr="004A4ACA">
        <w:rPr>
          <w:sz w:val="22"/>
          <w:szCs w:val="22"/>
        </w:rPr>
        <w:t>produced within the tower, which are determined by the tower fill design, tower design, the air</w:t>
      </w:r>
      <w:r>
        <w:rPr>
          <w:sz w:val="22"/>
          <w:szCs w:val="22"/>
        </w:rPr>
        <w:t xml:space="preserve"> </w:t>
      </w:r>
      <w:r w:rsidRPr="004A4ACA">
        <w:rPr>
          <w:sz w:val="22"/>
          <w:szCs w:val="22"/>
        </w:rPr>
        <w:t>and water patterns, and design of the drift eliminators.</w:t>
      </w:r>
    </w:p>
    <w:p w:rsidR="002937DA" w:rsidRPr="006C19BE" w:rsidRDefault="002937DA" w:rsidP="002937DA">
      <w:pPr>
        <w:widowControl w:val="0"/>
        <w:spacing w:after="120"/>
        <w:rPr>
          <w:sz w:val="22"/>
          <w:szCs w:val="22"/>
          <w:u w:val="single"/>
        </w:rPr>
      </w:pPr>
      <w:r w:rsidRPr="006C19BE">
        <w:rPr>
          <w:sz w:val="22"/>
          <w:szCs w:val="22"/>
          <w:u w:val="single"/>
        </w:rPr>
        <w:t>Discussion of Technically Infeasible Control Options and Ranking of Remaining Options</w:t>
      </w:r>
    </w:p>
    <w:p w:rsidR="002937DA" w:rsidRPr="00920F4E" w:rsidRDefault="00920F4E" w:rsidP="00920F4E">
      <w:pPr>
        <w:widowControl w:val="0"/>
        <w:spacing w:after="120"/>
        <w:rPr>
          <w:sz w:val="22"/>
          <w:szCs w:val="22"/>
        </w:rPr>
      </w:pPr>
      <w:r w:rsidRPr="00920F4E">
        <w:rPr>
          <w:sz w:val="22"/>
          <w:szCs w:val="22"/>
        </w:rPr>
        <w:t xml:space="preserve">Types of drift eliminator configurations include herringbone (blade-type), wave form, and cellular (or honeycomb) designs. </w:t>
      </w:r>
      <w:r w:rsidR="000E58E0">
        <w:rPr>
          <w:sz w:val="22"/>
          <w:szCs w:val="22"/>
        </w:rPr>
        <w:t xml:space="preserve"> </w:t>
      </w:r>
      <w:r w:rsidRPr="00920F4E">
        <w:rPr>
          <w:sz w:val="22"/>
          <w:szCs w:val="22"/>
        </w:rPr>
        <w:t xml:space="preserve">The cellular units are </w:t>
      </w:r>
      <w:r w:rsidR="000E58E0" w:rsidRPr="00920F4E">
        <w:rPr>
          <w:sz w:val="22"/>
          <w:szCs w:val="22"/>
        </w:rPr>
        <w:t xml:space="preserve">generally </w:t>
      </w:r>
      <w:r w:rsidRPr="00920F4E">
        <w:rPr>
          <w:sz w:val="22"/>
          <w:szCs w:val="22"/>
        </w:rPr>
        <w:t>the most efficient.</w:t>
      </w:r>
    </w:p>
    <w:p w:rsidR="007F0B09" w:rsidRDefault="007F0B09" w:rsidP="002937DA">
      <w:pPr>
        <w:widowControl w:val="0"/>
        <w:spacing w:after="120"/>
        <w:rPr>
          <w:sz w:val="22"/>
          <w:szCs w:val="22"/>
          <w:u w:val="single"/>
        </w:rPr>
      </w:pPr>
      <w:r w:rsidRPr="00297927">
        <w:rPr>
          <w:sz w:val="22"/>
          <w:szCs w:val="22"/>
          <w:u w:val="single"/>
        </w:rPr>
        <w:t>Evaluation of Economic, Environmental, and Energy Impacts of Feasible Technologies</w:t>
      </w:r>
    </w:p>
    <w:p w:rsidR="00E40C19" w:rsidRPr="00E40C19" w:rsidRDefault="000E58E0" w:rsidP="00E40C19">
      <w:pPr>
        <w:widowControl w:val="0"/>
        <w:spacing w:after="120"/>
        <w:rPr>
          <w:sz w:val="22"/>
          <w:szCs w:val="22"/>
        </w:rPr>
      </w:pPr>
      <w:r>
        <w:rPr>
          <w:sz w:val="22"/>
          <w:szCs w:val="22"/>
        </w:rPr>
        <w:t>The applicant has not identified any</w:t>
      </w:r>
      <w:r w:rsidR="00E40C19" w:rsidRPr="00E40C19">
        <w:rPr>
          <w:sz w:val="22"/>
          <w:szCs w:val="22"/>
        </w:rPr>
        <w:t xml:space="preserve"> energy or environmental impacts associated with drift eliminators</w:t>
      </w:r>
      <w:r>
        <w:rPr>
          <w:sz w:val="22"/>
          <w:szCs w:val="22"/>
        </w:rPr>
        <w:t xml:space="preserve"> and proposes </w:t>
      </w:r>
      <w:r w:rsidR="00E40C19" w:rsidRPr="00E40C19">
        <w:rPr>
          <w:sz w:val="22"/>
          <w:szCs w:val="22"/>
        </w:rPr>
        <w:t xml:space="preserve">a design drift rate of 0.001-percent </w:t>
      </w:r>
      <w:r>
        <w:rPr>
          <w:sz w:val="22"/>
          <w:szCs w:val="22"/>
        </w:rPr>
        <w:t>as a feasible control option for PM</w:t>
      </w:r>
      <w:r w:rsidR="00E40C19" w:rsidRPr="00E40C19">
        <w:rPr>
          <w:sz w:val="22"/>
          <w:szCs w:val="22"/>
        </w:rPr>
        <w:t>.</w:t>
      </w:r>
    </w:p>
    <w:p w:rsidR="00C97900" w:rsidRDefault="002937DA" w:rsidP="00C97900">
      <w:pPr>
        <w:widowControl w:val="0"/>
        <w:spacing w:after="120"/>
        <w:rPr>
          <w:sz w:val="22"/>
          <w:szCs w:val="22"/>
        </w:rPr>
      </w:pPr>
      <w:r w:rsidRPr="006C19BE">
        <w:rPr>
          <w:sz w:val="22"/>
          <w:szCs w:val="22"/>
          <w:u w:val="single"/>
        </w:rPr>
        <w:t>Selection of BACT and Rationale</w:t>
      </w:r>
      <w:r w:rsidR="00C97900" w:rsidRPr="00C97900">
        <w:rPr>
          <w:sz w:val="22"/>
          <w:szCs w:val="22"/>
        </w:rPr>
        <w:t xml:space="preserve"> </w:t>
      </w:r>
    </w:p>
    <w:p w:rsidR="009A4FA4" w:rsidRDefault="00790134" w:rsidP="00C97900">
      <w:pPr>
        <w:widowControl w:val="0"/>
        <w:spacing w:after="120"/>
        <w:rPr>
          <w:sz w:val="22"/>
          <w:szCs w:val="22"/>
        </w:rPr>
      </w:pPr>
      <w:r>
        <w:rPr>
          <w:sz w:val="22"/>
          <w:szCs w:val="22"/>
        </w:rPr>
        <w:t xml:space="preserve">As described above, the applicant has proposed </w:t>
      </w:r>
      <w:r w:rsidR="00C97900" w:rsidRPr="00C97900">
        <w:rPr>
          <w:sz w:val="22"/>
          <w:szCs w:val="22"/>
        </w:rPr>
        <w:t>a design drift rate of 0.001 percent as the BACT</w:t>
      </w:r>
      <w:r w:rsidR="00C97900">
        <w:rPr>
          <w:sz w:val="22"/>
          <w:szCs w:val="22"/>
        </w:rPr>
        <w:t xml:space="preserve"> </w:t>
      </w:r>
      <w:r w:rsidR="00C97900" w:rsidRPr="00C97900">
        <w:rPr>
          <w:sz w:val="22"/>
          <w:szCs w:val="22"/>
        </w:rPr>
        <w:t xml:space="preserve">work practice standard for PM emissions </w:t>
      </w:r>
      <w:r>
        <w:rPr>
          <w:sz w:val="22"/>
          <w:szCs w:val="22"/>
        </w:rPr>
        <w:t>for the</w:t>
      </w:r>
      <w:r w:rsidR="00C97900" w:rsidRPr="00C97900">
        <w:rPr>
          <w:sz w:val="22"/>
          <w:szCs w:val="22"/>
        </w:rPr>
        <w:t xml:space="preserve"> cooling tower</w:t>
      </w:r>
      <w:r w:rsidR="00C97900">
        <w:rPr>
          <w:sz w:val="22"/>
          <w:szCs w:val="22"/>
        </w:rPr>
        <w:t>.</w:t>
      </w:r>
      <w:r w:rsidR="00A03455">
        <w:rPr>
          <w:sz w:val="22"/>
          <w:szCs w:val="22"/>
        </w:rPr>
        <w:t xml:space="preserve">  However, after further discussion with the Department, the applicant has agreed to accept a</w:t>
      </w:r>
      <w:r w:rsidR="00A03455" w:rsidRPr="00A03455">
        <w:rPr>
          <w:sz w:val="22"/>
          <w:szCs w:val="22"/>
        </w:rPr>
        <w:t xml:space="preserve"> </w:t>
      </w:r>
      <w:r w:rsidR="00A03455">
        <w:rPr>
          <w:sz w:val="22"/>
          <w:szCs w:val="22"/>
        </w:rPr>
        <w:t xml:space="preserve">more stringent </w:t>
      </w:r>
      <w:r w:rsidR="00A03455" w:rsidRPr="00A03455">
        <w:rPr>
          <w:sz w:val="22"/>
          <w:szCs w:val="22"/>
        </w:rPr>
        <w:t>design drift rate of 0.00</w:t>
      </w:r>
      <w:r w:rsidR="00A03455">
        <w:rPr>
          <w:sz w:val="22"/>
          <w:szCs w:val="22"/>
        </w:rPr>
        <w:t>05</w:t>
      </w:r>
      <w:r w:rsidR="00A03455" w:rsidRPr="00A03455">
        <w:rPr>
          <w:sz w:val="22"/>
          <w:szCs w:val="22"/>
        </w:rPr>
        <w:t xml:space="preserve"> percent</w:t>
      </w:r>
      <w:r w:rsidR="00A03455">
        <w:rPr>
          <w:sz w:val="22"/>
          <w:szCs w:val="22"/>
        </w:rPr>
        <w:t>.  As seen in</w:t>
      </w:r>
      <w:r w:rsidR="003E3FA4">
        <w:rPr>
          <w:sz w:val="22"/>
          <w:szCs w:val="22"/>
        </w:rPr>
        <w:t xml:space="preserve"> </w:t>
      </w:r>
      <w:r w:rsidR="003E3FA4" w:rsidRPr="003E3FA4">
        <w:rPr>
          <w:rFonts w:ascii="Times New Roman Bold" w:hAnsi="Times New Roman Bold"/>
          <w:b/>
          <w:sz w:val="22"/>
          <w:szCs w:val="22"/>
        </w:rPr>
        <w:fldChar w:fldCharType="begin"/>
      </w:r>
      <w:r w:rsidR="003E3FA4" w:rsidRPr="003E3FA4">
        <w:rPr>
          <w:rFonts w:ascii="Times New Roman Bold" w:hAnsi="Times New Roman Bold"/>
          <w:b/>
          <w:sz w:val="22"/>
          <w:szCs w:val="22"/>
        </w:rPr>
        <w:instrText xml:space="preserve"> REF _Ref513624547 \h </w:instrText>
      </w:r>
      <w:r w:rsidR="003E3FA4">
        <w:rPr>
          <w:rFonts w:ascii="Times New Roman Bold" w:hAnsi="Times New Roman Bold"/>
          <w:b/>
          <w:sz w:val="22"/>
          <w:szCs w:val="22"/>
        </w:rPr>
        <w:instrText xml:space="preserve"> \* MERGEFORMAT </w:instrText>
      </w:r>
      <w:r w:rsidR="003E3FA4" w:rsidRPr="003E3FA4">
        <w:rPr>
          <w:rFonts w:ascii="Times New Roman Bold" w:hAnsi="Times New Roman Bold"/>
          <w:b/>
          <w:sz w:val="22"/>
          <w:szCs w:val="22"/>
        </w:rPr>
      </w:r>
      <w:r w:rsidR="003E3FA4" w:rsidRPr="003E3FA4">
        <w:rPr>
          <w:rFonts w:ascii="Times New Roman Bold" w:hAnsi="Times New Roman Bold"/>
          <w:b/>
          <w:sz w:val="22"/>
          <w:szCs w:val="22"/>
        </w:rPr>
        <w:fldChar w:fldCharType="separate"/>
      </w:r>
      <w:r w:rsidR="003E3FA4" w:rsidRPr="003E3FA4">
        <w:rPr>
          <w:rFonts w:ascii="Times New Roman Bold" w:hAnsi="Times New Roman Bold"/>
          <w:b/>
          <w:sz w:val="22"/>
        </w:rPr>
        <w:t xml:space="preserve">Table </w:t>
      </w:r>
      <w:r w:rsidR="003E3FA4" w:rsidRPr="003E3FA4">
        <w:rPr>
          <w:rFonts w:ascii="Times New Roman Bold" w:hAnsi="Times New Roman Bold"/>
          <w:b/>
          <w:noProof/>
          <w:sz w:val="22"/>
        </w:rPr>
        <w:t>16</w:t>
      </w:r>
      <w:r w:rsidR="003E3FA4" w:rsidRPr="003E3FA4">
        <w:rPr>
          <w:rFonts w:ascii="Times New Roman Bold" w:hAnsi="Times New Roman Bold"/>
          <w:b/>
          <w:sz w:val="22"/>
          <w:szCs w:val="22"/>
        </w:rPr>
        <w:fldChar w:fldCharType="end"/>
      </w:r>
      <w:r w:rsidR="00A03455">
        <w:rPr>
          <w:sz w:val="22"/>
          <w:szCs w:val="22"/>
        </w:rPr>
        <w:t xml:space="preserve">, the selected draft BACT determination for PM is consistent with previous </w:t>
      </w:r>
      <w:r w:rsidR="00A03455" w:rsidRPr="00A03455">
        <w:rPr>
          <w:sz w:val="22"/>
          <w:szCs w:val="22"/>
        </w:rPr>
        <w:t>BACT determination</w:t>
      </w:r>
      <w:r w:rsidR="00A03455">
        <w:rPr>
          <w:sz w:val="22"/>
          <w:szCs w:val="22"/>
        </w:rPr>
        <w:t>s for cooling towers.</w:t>
      </w:r>
    </w:p>
    <w:p w:rsidR="003B2442" w:rsidRDefault="009A4FA4" w:rsidP="009A4FA4">
      <w:pPr>
        <w:pStyle w:val="Caption"/>
        <w:spacing w:before="0"/>
        <w:jc w:val="center"/>
      </w:pPr>
      <w:bookmarkStart w:id="70" w:name="_Ref513624547"/>
      <w:r>
        <w:t xml:space="preserve">Table </w:t>
      </w:r>
      <w:fldSimple w:instr=" SEQ Table \* ARABIC ">
        <w:r w:rsidR="007204D0">
          <w:rPr>
            <w:noProof/>
          </w:rPr>
          <w:t>16</w:t>
        </w:r>
      </w:fldSimple>
      <w:bookmarkEnd w:id="70"/>
      <w:r>
        <w:t xml:space="preserve"> - </w:t>
      </w:r>
      <w:r w:rsidR="003B2442" w:rsidRPr="002C2787">
        <w:t>RBLC BACT Determinations for Cooling Towers</w:t>
      </w:r>
      <w:r w:rsidR="00012A83">
        <w:t>.</w:t>
      </w:r>
    </w:p>
    <w:tbl>
      <w:tblPr>
        <w:tblStyle w:val="TableGrid"/>
        <w:tblW w:w="10140" w:type="dxa"/>
        <w:jc w:val="center"/>
        <w:tblLook w:val="04A0" w:firstRow="1" w:lastRow="0" w:firstColumn="1" w:lastColumn="0" w:noHBand="0" w:noVBand="1"/>
      </w:tblPr>
      <w:tblGrid>
        <w:gridCol w:w="968"/>
        <w:gridCol w:w="1134"/>
        <w:gridCol w:w="2167"/>
        <w:gridCol w:w="1544"/>
        <w:gridCol w:w="1045"/>
        <w:gridCol w:w="2087"/>
        <w:gridCol w:w="1195"/>
      </w:tblGrid>
      <w:tr w:rsidR="003B2442" w:rsidRPr="00E8321C" w:rsidTr="000E7AA2">
        <w:trPr>
          <w:trHeight w:val="103"/>
          <w:tblHeader/>
          <w:jc w:val="center"/>
        </w:trPr>
        <w:tc>
          <w:tcPr>
            <w:tcW w:w="968" w:type="dxa"/>
            <w:tcBorders>
              <w:top w:val="single" w:sz="12" w:space="0" w:color="auto"/>
              <w:left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RBLC ID</w:t>
            </w:r>
          </w:p>
        </w:tc>
        <w:tc>
          <w:tcPr>
            <w:tcW w:w="1134"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Date</w:t>
            </w:r>
          </w:p>
        </w:tc>
        <w:tc>
          <w:tcPr>
            <w:tcW w:w="2167"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Source Type</w:t>
            </w:r>
          </w:p>
        </w:tc>
        <w:tc>
          <w:tcPr>
            <w:tcW w:w="1544"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Flow Rate</w:t>
            </w:r>
          </w:p>
        </w:tc>
        <w:tc>
          <w:tcPr>
            <w:tcW w:w="1045" w:type="dxa"/>
            <w:tcBorders>
              <w:top w:val="single" w:sz="12" w:space="0" w:color="auto"/>
              <w:bottom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Pollutant</w:t>
            </w:r>
          </w:p>
        </w:tc>
        <w:tc>
          <w:tcPr>
            <w:tcW w:w="2087" w:type="dxa"/>
            <w:tcBorders>
              <w:top w:val="single" w:sz="12" w:space="0" w:color="auto"/>
              <w:bottom w:val="single" w:sz="12" w:space="0" w:color="auto"/>
              <w:right w:val="single" w:sz="4"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sidRPr="00E8321C">
              <w:rPr>
                <w:b/>
                <w:sz w:val="20"/>
              </w:rPr>
              <w:t>Pollutant Limit</w:t>
            </w:r>
          </w:p>
        </w:tc>
        <w:tc>
          <w:tcPr>
            <w:tcW w:w="1192" w:type="dxa"/>
            <w:tcBorders>
              <w:top w:val="single" w:sz="12" w:space="0" w:color="auto"/>
              <w:left w:val="single" w:sz="4" w:space="0" w:color="auto"/>
              <w:bottom w:val="single" w:sz="12" w:space="0" w:color="auto"/>
              <w:right w:val="single" w:sz="12" w:space="0" w:color="auto"/>
            </w:tcBorders>
            <w:shd w:val="clear" w:color="auto" w:fill="B8CCE4" w:themeFill="accent1" w:themeFillTint="66"/>
            <w:vAlign w:val="center"/>
          </w:tcPr>
          <w:p w:rsidR="003B2442" w:rsidRPr="00E8321C" w:rsidRDefault="003B2442" w:rsidP="00262064">
            <w:pPr>
              <w:pStyle w:val="BodyText2"/>
              <w:widowControl w:val="0"/>
              <w:numPr>
                <w:ilvl w:val="0"/>
                <w:numId w:val="0"/>
              </w:numPr>
              <w:spacing w:after="0"/>
              <w:jc w:val="center"/>
              <w:rPr>
                <w:b/>
                <w:sz w:val="20"/>
              </w:rPr>
            </w:pPr>
            <w:r>
              <w:rPr>
                <w:b/>
                <w:sz w:val="20"/>
              </w:rPr>
              <w:t>Control Method</w:t>
            </w:r>
          </w:p>
        </w:tc>
      </w:tr>
      <w:tr w:rsidR="003B2442" w:rsidRPr="001B6505" w:rsidTr="000E7AA2">
        <w:trPr>
          <w:trHeight w:val="76"/>
          <w:jc w:val="center"/>
        </w:trPr>
        <w:tc>
          <w:tcPr>
            <w:tcW w:w="968" w:type="dxa"/>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FL-0356</w:t>
            </w:r>
          </w:p>
        </w:tc>
        <w:tc>
          <w:tcPr>
            <w:tcW w:w="1134" w:type="dxa"/>
            <w:vAlign w:val="center"/>
          </w:tcPr>
          <w:p w:rsidR="003B2442" w:rsidRPr="00E8321C" w:rsidRDefault="003B2442" w:rsidP="00262064">
            <w:pPr>
              <w:pStyle w:val="BodyText2"/>
              <w:widowControl w:val="0"/>
              <w:numPr>
                <w:ilvl w:val="0"/>
                <w:numId w:val="0"/>
              </w:numPr>
              <w:spacing w:after="0"/>
              <w:jc w:val="center"/>
              <w:rPr>
                <w:sz w:val="20"/>
              </w:rPr>
            </w:pPr>
            <w:r>
              <w:rPr>
                <w:sz w:val="20"/>
              </w:rPr>
              <w:t>03/09/2016</w:t>
            </w:r>
          </w:p>
        </w:tc>
        <w:tc>
          <w:tcPr>
            <w:tcW w:w="2167" w:type="dxa"/>
            <w:vAlign w:val="center"/>
          </w:tcPr>
          <w:p w:rsidR="003B2442" w:rsidRPr="00E8321C" w:rsidRDefault="003B2442" w:rsidP="00262064">
            <w:pPr>
              <w:pStyle w:val="BodyText2"/>
              <w:widowControl w:val="0"/>
              <w:spacing w:after="0"/>
              <w:jc w:val="center"/>
              <w:rPr>
                <w:sz w:val="20"/>
              </w:rPr>
            </w:pPr>
            <w:r>
              <w:rPr>
                <w:sz w:val="20"/>
              </w:rPr>
              <w:t>30-cell mechanical draft cooling tower</w:t>
            </w:r>
          </w:p>
        </w:tc>
        <w:tc>
          <w:tcPr>
            <w:tcW w:w="1544" w:type="dxa"/>
            <w:vAlign w:val="center"/>
          </w:tcPr>
          <w:p w:rsidR="003B2442" w:rsidRPr="00E8321C" w:rsidRDefault="003B2442" w:rsidP="00262064">
            <w:pPr>
              <w:pStyle w:val="BodyText2"/>
              <w:widowControl w:val="0"/>
              <w:numPr>
                <w:ilvl w:val="0"/>
                <w:numId w:val="0"/>
              </w:numPr>
              <w:spacing w:after="0"/>
              <w:jc w:val="center"/>
              <w:rPr>
                <w:sz w:val="20"/>
              </w:rPr>
            </w:pPr>
            <w:r>
              <w:rPr>
                <w:sz w:val="20"/>
              </w:rPr>
              <w:t>465,815 gal/min</w:t>
            </w:r>
          </w:p>
        </w:tc>
        <w:tc>
          <w:tcPr>
            <w:tcW w:w="1045" w:type="dxa"/>
            <w:vMerge w:val="restart"/>
            <w:vAlign w:val="center"/>
          </w:tcPr>
          <w:p w:rsidR="003B2442" w:rsidRDefault="003B2442" w:rsidP="00262064">
            <w:pPr>
              <w:pStyle w:val="BodyText2"/>
              <w:widowControl w:val="0"/>
              <w:numPr>
                <w:ilvl w:val="0"/>
                <w:numId w:val="0"/>
              </w:numPr>
              <w:spacing w:after="0"/>
              <w:jc w:val="center"/>
              <w:rPr>
                <w:sz w:val="20"/>
              </w:rPr>
            </w:pPr>
            <w:r>
              <w:rPr>
                <w:sz w:val="20"/>
              </w:rPr>
              <w:t>PM</w:t>
            </w:r>
          </w:p>
        </w:tc>
        <w:tc>
          <w:tcPr>
            <w:tcW w:w="2087" w:type="dxa"/>
            <w:vMerge w:val="restart"/>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 xml:space="preserve">Drift rate </w:t>
            </w:r>
            <w:r>
              <w:rPr>
                <w:sz w:val="20"/>
              </w:rPr>
              <w:br/>
              <w:t>≤ 0.0005%</w:t>
            </w:r>
          </w:p>
        </w:tc>
        <w:tc>
          <w:tcPr>
            <w:tcW w:w="1192" w:type="dxa"/>
            <w:vMerge w:val="restart"/>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Mist/drift eliminators</w:t>
            </w:r>
          </w:p>
        </w:tc>
      </w:tr>
      <w:tr w:rsidR="003B2442" w:rsidRPr="001B6505" w:rsidTr="000E7AA2">
        <w:trPr>
          <w:trHeight w:val="36"/>
          <w:jc w:val="center"/>
        </w:trPr>
        <w:tc>
          <w:tcPr>
            <w:tcW w:w="968" w:type="dxa"/>
            <w:tcBorders>
              <w:left w:val="single" w:sz="12" w:space="0" w:color="auto"/>
            </w:tcBorders>
            <w:vAlign w:val="center"/>
          </w:tcPr>
          <w:p w:rsidR="003B2442" w:rsidRDefault="003B2442" w:rsidP="00262064">
            <w:pPr>
              <w:pStyle w:val="BodyText2"/>
              <w:widowControl w:val="0"/>
              <w:numPr>
                <w:ilvl w:val="0"/>
                <w:numId w:val="0"/>
              </w:numPr>
              <w:spacing w:after="0"/>
              <w:jc w:val="center"/>
              <w:rPr>
                <w:sz w:val="20"/>
              </w:rPr>
            </w:pPr>
            <w:r>
              <w:rPr>
                <w:sz w:val="20"/>
              </w:rPr>
              <w:t>FL-0363</w:t>
            </w:r>
          </w:p>
        </w:tc>
        <w:tc>
          <w:tcPr>
            <w:tcW w:w="1134" w:type="dxa"/>
            <w:vAlign w:val="center"/>
          </w:tcPr>
          <w:p w:rsidR="003B2442" w:rsidRDefault="003B2442" w:rsidP="00262064">
            <w:pPr>
              <w:pStyle w:val="BodyText2"/>
              <w:widowControl w:val="0"/>
              <w:numPr>
                <w:ilvl w:val="0"/>
                <w:numId w:val="0"/>
              </w:numPr>
              <w:spacing w:after="0"/>
              <w:jc w:val="center"/>
              <w:rPr>
                <w:sz w:val="20"/>
              </w:rPr>
            </w:pPr>
            <w:r>
              <w:rPr>
                <w:sz w:val="20"/>
              </w:rPr>
              <w:t>12/04/2017</w:t>
            </w:r>
          </w:p>
        </w:tc>
        <w:tc>
          <w:tcPr>
            <w:tcW w:w="2167" w:type="dxa"/>
            <w:vAlign w:val="center"/>
          </w:tcPr>
          <w:p w:rsidR="003B2442" w:rsidRDefault="003B2442" w:rsidP="00262064">
            <w:pPr>
              <w:pStyle w:val="BodyText2"/>
              <w:widowControl w:val="0"/>
              <w:spacing w:after="0"/>
              <w:jc w:val="center"/>
              <w:rPr>
                <w:sz w:val="20"/>
              </w:rPr>
            </w:pPr>
            <w:r>
              <w:rPr>
                <w:sz w:val="20"/>
              </w:rPr>
              <w:t>14-cell mechanical draft cooling tower</w:t>
            </w:r>
          </w:p>
        </w:tc>
        <w:tc>
          <w:tcPr>
            <w:tcW w:w="1544" w:type="dxa"/>
            <w:vAlign w:val="center"/>
          </w:tcPr>
          <w:p w:rsidR="003B2442" w:rsidRDefault="003B2442" w:rsidP="00262064">
            <w:pPr>
              <w:pStyle w:val="BodyText2"/>
              <w:widowControl w:val="0"/>
              <w:numPr>
                <w:ilvl w:val="0"/>
                <w:numId w:val="0"/>
              </w:numPr>
              <w:spacing w:after="0"/>
              <w:jc w:val="center"/>
              <w:rPr>
                <w:sz w:val="20"/>
              </w:rPr>
            </w:pPr>
            <w:r>
              <w:rPr>
                <w:sz w:val="20"/>
              </w:rPr>
              <w:t>232,908 gal/min</w:t>
            </w:r>
          </w:p>
        </w:tc>
        <w:tc>
          <w:tcPr>
            <w:tcW w:w="1045" w:type="dxa"/>
            <w:vMerge/>
            <w:vAlign w:val="center"/>
          </w:tcPr>
          <w:p w:rsidR="003B2442" w:rsidRDefault="003B2442" w:rsidP="00262064">
            <w:pPr>
              <w:pStyle w:val="BodyText2"/>
              <w:widowControl w:val="0"/>
              <w:numPr>
                <w:ilvl w:val="0"/>
                <w:numId w:val="0"/>
              </w:numPr>
              <w:spacing w:after="0"/>
              <w:jc w:val="center"/>
              <w:rPr>
                <w:sz w:val="20"/>
              </w:rPr>
            </w:pPr>
          </w:p>
        </w:tc>
        <w:tc>
          <w:tcPr>
            <w:tcW w:w="2087" w:type="dxa"/>
            <w:vMerge/>
            <w:tcBorders>
              <w:right w:val="single" w:sz="4" w:space="0" w:color="auto"/>
            </w:tcBorders>
            <w:vAlign w:val="center"/>
          </w:tcPr>
          <w:p w:rsidR="003B2442" w:rsidRDefault="003B2442" w:rsidP="00262064">
            <w:pPr>
              <w:pStyle w:val="BodyText2"/>
              <w:widowControl w:val="0"/>
              <w:numPr>
                <w:ilvl w:val="0"/>
                <w:numId w:val="0"/>
              </w:numPr>
              <w:spacing w:after="0"/>
              <w:jc w:val="center"/>
              <w:rPr>
                <w:sz w:val="20"/>
              </w:rPr>
            </w:pPr>
          </w:p>
        </w:tc>
        <w:tc>
          <w:tcPr>
            <w:tcW w:w="1192" w:type="dxa"/>
            <w:vMerge/>
            <w:tcBorders>
              <w:left w:val="single" w:sz="4" w:space="0" w:color="auto"/>
              <w:right w:val="single" w:sz="12" w:space="0" w:color="auto"/>
            </w:tcBorders>
            <w:vAlign w:val="center"/>
          </w:tcPr>
          <w:p w:rsidR="003B2442" w:rsidRDefault="003B2442" w:rsidP="00262064">
            <w:pPr>
              <w:pStyle w:val="BodyText2"/>
              <w:widowControl w:val="0"/>
              <w:numPr>
                <w:ilvl w:val="0"/>
                <w:numId w:val="0"/>
              </w:numPr>
              <w:spacing w:after="0"/>
              <w:jc w:val="center"/>
              <w:rPr>
                <w:sz w:val="20"/>
              </w:rPr>
            </w:pPr>
          </w:p>
        </w:tc>
      </w:tr>
      <w:tr w:rsidR="003B2442" w:rsidRPr="001B6505" w:rsidTr="000E7AA2">
        <w:trPr>
          <w:trHeight w:val="33"/>
          <w:jc w:val="center"/>
        </w:trPr>
        <w:tc>
          <w:tcPr>
            <w:tcW w:w="968" w:type="dxa"/>
            <w:tcBorders>
              <w:left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TX-0714</w:t>
            </w:r>
          </w:p>
        </w:tc>
        <w:tc>
          <w:tcPr>
            <w:tcW w:w="1134" w:type="dxa"/>
            <w:vAlign w:val="center"/>
          </w:tcPr>
          <w:p w:rsidR="003B2442" w:rsidRPr="00E8321C" w:rsidRDefault="003B2442" w:rsidP="00262064">
            <w:pPr>
              <w:pStyle w:val="BodyText2"/>
              <w:widowControl w:val="0"/>
              <w:numPr>
                <w:ilvl w:val="0"/>
                <w:numId w:val="0"/>
              </w:numPr>
              <w:spacing w:after="0"/>
              <w:jc w:val="center"/>
              <w:rPr>
                <w:sz w:val="20"/>
              </w:rPr>
            </w:pPr>
            <w:r>
              <w:rPr>
                <w:sz w:val="20"/>
              </w:rPr>
              <w:t>12/19/2014</w:t>
            </w:r>
          </w:p>
        </w:tc>
        <w:tc>
          <w:tcPr>
            <w:tcW w:w="2167" w:type="dxa"/>
            <w:vAlign w:val="center"/>
          </w:tcPr>
          <w:p w:rsidR="003B2442" w:rsidRPr="00E8321C" w:rsidRDefault="003B2442" w:rsidP="00262064">
            <w:pPr>
              <w:pStyle w:val="BodyText2"/>
              <w:widowControl w:val="0"/>
              <w:numPr>
                <w:ilvl w:val="0"/>
                <w:numId w:val="0"/>
              </w:numPr>
              <w:spacing w:after="0"/>
              <w:jc w:val="center"/>
              <w:rPr>
                <w:sz w:val="20"/>
              </w:rPr>
            </w:pPr>
            <w:r>
              <w:rPr>
                <w:sz w:val="20"/>
              </w:rPr>
              <w:t>Mechanical draft cooling tower</w:t>
            </w:r>
          </w:p>
        </w:tc>
        <w:tc>
          <w:tcPr>
            <w:tcW w:w="1544" w:type="dxa"/>
            <w:vAlign w:val="center"/>
          </w:tcPr>
          <w:p w:rsidR="003B2442" w:rsidRPr="00E8321C" w:rsidRDefault="003B2442" w:rsidP="00262064">
            <w:pPr>
              <w:pStyle w:val="BodyText2"/>
              <w:widowControl w:val="0"/>
              <w:numPr>
                <w:ilvl w:val="0"/>
                <w:numId w:val="0"/>
              </w:numPr>
              <w:spacing w:after="0"/>
              <w:jc w:val="center"/>
              <w:rPr>
                <w:sz w:val="20"/>
              </w:rPr>
            </w:pPr>
            <w:r>
              <w:rPr>
                <w:sz w:val="20"/>
              </w:rPr>
              <w:t>--</w:t>
            </w:r>
          </w:p>
        </w:tc>
        <w:tc>
          <w:tcPr>
            <w:tcW w:w="1045" w:type="dxa"/>
            <w:vMerge/>
            <w:vAlign w:val="center"/>
          </w:tcPr>
          <w:p w:rsidR="003B2442" w:rsidRPr="001B6505" w:rsidRDefault="003B2442" w:rsidP="00262064">
            <w:pPr>
              <w:pStyle w:val="BodyText2"/>
              <w:widowControl w:val="0"/>
              <w:numPr>
                <w:ilvl w:val="0"/>
                <w:numId w:val="0"/>
              </w:numPr>
              <w:spacing w:after="0"/>
              <w:jc w:val="center"/>
              <w:rPr>
                <w:sz w:val="20"/>
              </w:rPr>
            </w:pPr>
          </w:p>
        </w:tc>
        <w:tc>
          <w:tcPr>
            <w:tcW w:w="2087" w:type="dxa"/>
            <w:vMerge/>
            <w:tcBorders>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c>
          <w:tcPr>
            <w:tcW w:w="1192" w:type="dxa"/>
            <w:vMerge/>
            <w:tcBorders>
              <w:left w:val="single" w:sz="4"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0E7AA2" w:rsidRPr="001B6505" w:rsidTr="000E7AA2">
        <w:trPr>
          <w:trHeight w:val="115"/>
          <w:jc w:val="center"/>
        </w:trPr>
        <w:tc>
          <w:tcPr>
            <w:tcW w:w="968" w:type="dxa"/>
            <w:vMerge w:val="restart"/>
            <w:tcBorders>
              <w:left w:val="single" w:sz="12" w:space="0" w:color="auto"/>
            </w:tcBorders>
            <w:vAlign w:val="center"/>
          </w:tcPr>
          <w:p w:rsidR="000E7AA2" w:rsidRPr="00E8321C" w:rsidRDefault="000E7AA2" w:rsidP="00262064">
            <w:pPr>
              <w:pStyle w:val="BodyText2"/>
              <w:widowControl w:val="0"/>
              <w:numPr>
                <w:ilvl w:val="0"/>
                <w:numId w:val="0"/>
              </w:numPr>
              <w:spacing w:after="0"/>
              <w:jc w:val="center"/>
              <w:rPr>
                <w:sz w:val="20"/>
              </w:rPr>
            </w:pPr>
            <w:r>
              <w:rPr>
                <w:sz w:val="20"/>
              </w:rPr>
              <w:t>OH-0352</w:t>
            </w:r>
          </w:p>
        </w:tc>
        <w:tc>
          <w:tcPr>
            <w:tcW w:w="1134" w:type="dxa"/>
            <w:vMerge w:val="restart"/>
            <w:vAlign w:val="center"/>
          </w:tcPr>
          <w:p w:rsidR="000E7AA2" w:rsidRPr="00E8321C" w:rsidRDefault="000E7AA2" w:rsidP="00262064">
            <w:pPr>
              <w:pStyle w:val="BodyText2"/>
              <w:widowControl w:val="0"/>
              <w:numPr>
                <w:ilvl w:val="0"/>
                <w:numId w:val="0"/>
              </w:numPr>
              <w:spacing w:after="0"/>
              <w:jc w:val="center"/>
              <w:rPr>
                <w:sz w:val="20"/>
              </w:rPr>
            </w:pPr>
            <w:r>
              <w:rPr>
                <w:sz w:val="20"/>
              </w:rPr>
              <w:t>06/18/2013</w:t>
            </w:r>
          </w:p>
        </w:tc>
        <w:tc>
          <w:tcPr>
            <w:tcW w:w="2167" w:type="dxa"/>
            <w:vMerge w:val="restart"/>
            <w:vAlign w:val="center"/>
          </w:tcPr>
          <w:p w:rsidR="000E7AA2" w:rsidRPr="00E8321C" w:rsidRDefault="000E7AA2" w:rsidP="00262064">
            <w:pPr>
              <w:pStyle w:val="BodyText2"/>
              <w:widowControl w:val="0"/>
              <w:numPr>
                <w:ilvl w:val="0"/>
                <w:numId w:val="0"/>
              </w:numPr>
              <w:spacing w:after="0"/>
              <w:jc w:val="center"/>
              <w:rPr>
                <w:sz w:val="20"/>
              </w:rPr>
            </w:pPr>
            <w:r>
              <w:rPr>
                <w:sz w:val="20"/>
              </w:rPr>
              <w:t>16-cell mechanical draft wet cooling tower</w:t>
            </w:r>
          </w:p>
        </w:tc>
        <w:tc>
          <w:tcPr>
            <w:tcW w:w="1544" w:type="dxa"/>
            <w:vMerge w:val="restart"/>
            <w:vAlign w:val="center"/>
          </w:tcPr>
          <w:p w:rsidR="000E7AA2" w:rsidRPr="00E8321C" w:rsidRDefault="000E7AA2" w:rsidP="00262064">
            <w:pPr>
              <w:pStyle w:val="BodyText2"/>
              <w:widowControl w:val="0"/>
              <w:numPr>
                <w:ilvl w:val="0"/>
                <w:numId w:val="0"/>
              </w:numPr>
              <w:spacing w:after="0"/>
              <w:jc w:val="center"/>
              <w:rPr>
                <w:sz w:val="20"/>
              </w:rPr>
            </w:pPr>
            <w:r>
              <w:rPr>
                <w:sz w:val="20"/>
              </w:rPr>
              <w:t>322,000 gal/min</w:t>
            </w:r>
          </w:p>
        </w:tc>
        <w:tc>
          <w:tcPr>
            <w:tcW w:w="1045" w:type="dxa"/>
            <w:vAlign w:val="center"/>
          </w:tcPr>
          <w:p w:rsidR="000E7AA2" w:rsidRPr="004518B9" w:rsidRDefault="000E7AA2" w:rsidP="00262064">
            <w:pPr>
              <w:pStyle w:val="BodyText2"/>
              <w:widowControl w:val="0"/>
              <w:numPr>
                <w:ilvl w:val="0"/>
                <w:numId w:val="0"/>
              </w:numPr>
              <w:spacing w:after="0"/>
              <w:jc w:val="center"/>
              <w:rPr>
                <w:sz w:val="20"/>
                <w:vertAlign w:val="subscript"/>
              </w:rPr>
            </w:pPr>
            <w:r>
              <w:rPr>
                <w:sz w:val="20"/>
              </w:rPr>
              <w:t>PM</w:t>
            </w:r>
            <w:r>
              <w:rPr>
                <w:sz w:val="20"/>
                <w:vertAlign w:val="subscript"/>
              </w:rPr>
              <w:t>10</w:t>
            </w:r>
          </w:p>
        </w:tc>
        <w:tc>
          <w:tcPr>
            <w:tcW w:w="2087" w:type="dxa"/>
            <w:tcBorders>
              <w:right w:val="single" w:sz="4" w:space="0" w:color="auto"/>
            </w:tcBorders>
            <w:vAlign w:val="center"/>
          </w:tcPr>
          <w:p w:rsidR="000E7AA2" w:rsidRPr="001B6505" w:rsidRDefault="000E7AA2" w:rsidP="00262064">
            <w:pPr>
              <w:pStyle w:val="BodyText2"/>
              <w:widowControl w:val="0"/>
              <w:numPr>
                <w:ilvl w:val="0"/>
                <w:numId w:val="0"/>
              </w:numPr>
              <w:spacing w:after="0"/>
              <w:jc w:val="center"/>
              <w:rPr>
                <w:sz w:val="20"/>
              </w:rPr>
            </w:pPr>
            <w:r>
              <w:rPr>
                <w:sz w:val="20"/>
              </w:rPr>
              <w:t xml:space="preserve">1.03 lb/hour </w:t>
            </w:r>
            <w:r w:rsidRPr="00086124">
              <w:rPr>
                <w:b/>
                <w:sz w:val="24"/>
                <w:szCs w:val="24"/>
                <w:vertAlign w:val="superscript"/>
              </w:rPr>
              <w:fldChar w:fldCharType="begin"/>
            </w:r>
            <w:r w:rsidRPr="00086124">
              <w:rPr>
                <w:sz w:val="20"/>
                <w:vertAlign w:val="superscript"/>
              </w:rPr>
              <w:instrText xml:space="preserve"> REF _Ref511215143 \r \h </w:instrText>
            </w:r>
            <w:r w:rsidRPr="00086124">
              <w:rPr>
                <w:b/>
                <w:sz w:val="24"/>
                <w:szCs w:val="24"/>
                <w:vertAlign w:val="superscript"/>
              </w:rPr>
              <w:instrText xml:space="preserve"> \* MERGEFORMAT </w:instrText>
            </w:r>
            <w:r w:rsidRPr="00086124">
              <w:rPr>
                <w:b/>
                <w:sz w:val="24"/>
                <w:szCs w:val="24"/>
                <w:vertAlign w:val="superscript"/>
              </w:rPr>
            </w:r>
            <w:r w:rsidRPr="00086124">
              <w:rPr>
                <w:b/>
                <w:sz w:val="24"/>
                <w:szCs w:val="24"/>
                <w:vertAlign w:val="superscript"/>
              </w:rPr>
              <w:fldChar w:fldCharType="separate"/>
            </w:r>
            <w:r>
              <w:rPr>
                <w:sz w:val="20"/>
                <w:vertAlign w:val="superscript"/>
              </w:rPr>
              <w:t>a</w:t>
            </w:r>
            <w:r w:rsidRPr="00086124">
              <w:rPr>
                <w:b/>
                <w:sz w:val="24"/>
                <w:szCs w:val="24"/>
                <w:vertAlign w:val="superscript"/>
              </w:rPr>
              <w:fldChar w:fldCharType="end"/>
            </w:r>
            <w:r>
              <w:rPr>
                <w:sz w:val="20"/>
              </w:rPr>
              <w:t>, drift rate ≤ 0.0005%</w:t>
            </w:r>
          </w:p>
        </w:tc>
        <w:tc>
          <w:tcPr>
            <w:tcW w:w="1192" w:type="dxa"/>
            <w:vMerge/>
            <w:tcBorders>
              <w:left w:val="single" w:sz="4" w:space="0" w:color="auto"/>
              <w:right w:val="single" w:sz="12" w:space="0" w:color="auto"/>
            </w:tcBorders>
            <w:vAlign w:val="center"/>
          </w:tcPr>
          <w:p w:rsidR="000E7AA2" w:rsidRPr="001B6505" w:rsidRDefault="000E7AA2" w:rsidP="00262064">
            <w:pPr>
              <w:pStyle w:val="BodyText2"/>
              <w:widowControl w:val="0"/>
              <w:numPr>
                <w:ilvl w:val="0"/>
                <w:numId w:val="0"/>
              </w:numPr>
              <w:spacing w:after="0"/>
              <w:jc w:val="center"/>
              <w:rPr>
                <w:sz w:val="20"/>
              </w:rPr>
            </w:pPr>
          </w:p>
        </w:tc>
      </w:tr>
      <w:tr w:rsidR="000E7AA2" w:rsidRPr="001B6505" w:rsidTr="000E7AA2">
        <w:trPr>
          <w:trHeight w:val="47"/>
          <w:jc w:val="center"/>
        </w:trPr>
        <w:tc>
          <w:tcPr>
            <w:tcW w:w="968" w:type="dxa"/>
            <w:vMerge/>
            <w:tcBorders>
              <w:left w:val="single" w:sz="12" w:space="0" w:color="auto"/>
            </w:tcBorders>
            <w:vAlign w:val="center"/>
          </w:tcPr>
          <w:p w:rsidR="000E7AA2" w:rsidRDefault="000E7AA2" w:rsidP="00262064">
            <w:pPr>
              <w:pStyle w:val="BodyText2"/>
              <w:widowControl w:val="0"/>
              <w:numPr>
                <w:ilvl w:val="0"/>
                <w:numId w:val="0"/>
              </w:numPr>
              <w:spacing w:after="0"/>
              <w:jc w:val="center"/>
              <w:rPr>
                <w:sz w:val="20"/>
              </w:rPr>
            </w:pPr>
          </w:p>
        </w:tc>
        <w:tc>
          <w:tcPr>
            <w:tcW w:w="1134" w:type="dxa"/>
            <w:vMerge/>
            <w:vAlign w:val="center"/>
          </w:tcPr>
          <w:p w:rsidR="000E7AA2" w:rsidRDefault="000E7AA2" w:rsidP="00262064">
            <w:pPr>
              <w:pStyle w:val="BodyText2"/>
              <w:widowControl w:val="0"/>
              <w:numPr>
                <w:ilvl w:val="0"/>
                <w:numId w:val="0"/>
              </w:numPr>
              <w:spacing w:after="0"/>
              <w:jc w:val="center"/>
              <w:rPr>
                <w:sz w:val="20"/>
              </w:rPr>
            </w:pPr>
          </w:p>
        </w:tc>
        <w:tc>
          <w:tcPr>
            <w:tcW w:w="2167" w:type="dxa"/>
            <w:vMerge/>
            <w:vAlign w:val="center"/>
          </w:tcPr>
          <w:p w:rsidR="000E7AA2" w:rsidRDefault="000E7AA2" w:rsidP="00262064">
            <w:pPr>
              <w:pStyle w:val="BodyText2"/>
              <w:widowControl w:val="0"/>
              <w:numPr>
                <w:ilvl w:val="0"/>
                <w:numId w:val="0"/>
              </w:numPr>
              <w:spacing w:after="0"/>
              <w:jc w:val="center"/>
              <w:rPr>
                <w:sz w:val="20"/>
              </w:rPr>
            </w:pPr>
          </w:p>
        </w:tc>
        <w:tc>
          <w:tcPr>
            <w:tcW w:w="1544" w:type="dxa"/>
            <w:vMerge/>
            <w:vAlign w:val="center"/>
          </w:tcPr>
          <w:p w:rsidR="000E7AA2" w:rsidRDefault="000E7AA2" w:rsidP="00262064">
            <w:pPr>
              <w:pStyle w:val="BodyText2"/>
              <w:widowControl w:val="0"/>
              <w:numPr>
                <w:ilvl w:val="0"/>
                <w:numId w:val="0"/>
              </w:numPr>
              <w:spacing w:after="0"/>
              <w:jc w:val="center"/>
              <w:rPr>
                <w:sz w:val="20"/>
              </w:rPr>
            </w:pPr>
          </w:p>
        </w:tc>
        <w:tc>
          <w:tcPr>
            <w:tcW w:w="1045" w:type="dxa"/>
            <w:vAlign w:val="center"/>
          </w:tcPr>
          <w:p w:rsidR="000E7AA2" w:rsidRPr="004518B9" w:rsidRDefault="000E7AA2" w:rsidP="00262064">
            <w:pPr>
              <w:pStyle w:val="BodyText2"/>
              <w:widowControl w:val="0"/>
              <w:numPr>
                <w:ilvl w:val="0"/>
                <w:numId w:val="0"/>
              </w:numPr>
              <w:spacing w:after="0"/>
              <w:jc w:val="center"/>
              <w:rPr>
                <w:sz w:val="20"/>
                <w:vertAlign w:val="subscript"/>
              </w:rPr>
            </w:pPr>
            <w:r>
              <w:rPr>
                <w:sz w:val="20"/>
              </w:rPr>
              <w:t>PM</w:t>
            </w:r>
            <w:r>
              <w:rPr>
                <w:sz w:val="20"/>
                <w:vertAlign w:val="subscript"/>
              </w:rPr>
              <w:t>2.5</w:t>
            </w:r>
          </w:p>
        </w:tc>
        <w:tc>
          <w:tcPr>
            <w:tcW w:w="2087" w:type="dxa"/>
            <w:tcBorders>
              <w:right w:val="single" w:sz="4" w:space="0" w:color="auto"/>
            </w:tcBorders>
            <w:vAlign w:val="center"/>
          </w:tcPr>
          <w:p w:rsidR="000E7AA2" w:rsidRPr="001B6505" w:rsidRDefault="000E7AA2" w:rsidP="00262064">
            <w:pPr>
              <w:pStyle w:val="BodyText2"/>
              <w:widowControl w:val="0"/>
              <w:numPr>
                <w:ilvl w:val="0"/>
                <w:numId w:val="0"/>
              </w:numPr>
              <w:spacing w:after="0"/>
              <w:jc w:val="center"/>
              <w:rPr>
                <w:sz w:val="20"/>
              </w:rPr>
            </w:pPr>
            <w:r>
              <w:rPr>
                <w:sz w:val="20"/>
              </w:rPr>
              <w:t xml:space="preserve">0.0034 lb/hour </w:t>
            </w:r>
            <w:r w:rsidRPr="00086124">
              <w:rPr>
                <w:b/>
                <w:sz w:val="24"/>
                <w:szCs w:val="24"/>
                <w:vertAlign w:val="superscript"/>
              </w:rPr>
              <w:fldChar w:fldCharType="begin"/>
            </w:r>
            <w:r w:rsidRPr="00086124">
              <w:rPr>
                <w:sz w:val="20"/>
                <w:vertAlign w:val="superscript"/>
              </w:rPr>
              <w:instrText xml:space="preserve"> REF _Ref511215204 \r \h </w:instrText>
            </w:r>
            <w:r w:rsidRPr="00086124">
              <w:rPr>
                <w:b/>
                <w:sz w:val="24"/>
                <w:szCs w:val="24"/>
                <w:vertAlign w:val="superscript"/>
              </w:rPr>
              <w:instrText xml:space="preserve"> \* MERGEFORMAT </w:instrText>
            </w:r>
            <w:r w:rsidRPr="00086124">
              <w:rPr>
                <w:b/>
                <w:sz w:val="24"/>
                <w:szCs w:val="24"/>
                <w:vertAlign w:val="superscript"/>
              </w:rPr>
            </w:r>
            <w:r w:rsidRPr="00086124">
              <w:rPr>
                <w:b/>
                <w:sz w:val="24"/>
                <w:szCs w:val="24"/>
                <w:vertAlign w:val="superscript"/>
              </w:rPr>
              <w:fldChar w:fldCharType="separate"/>
            </w:r>
            <w:r>
              <w:rPr>
                <w:sz w:val="20"/>
                <w:vertAlign w:val="superscript"/>
              </w:rPr>
              <w:t>b</w:t>
            </w:r>
            <w:r w:rsidRPr="00086124">
              <w:rPr>
                <w:b/>
                <w:sz w:val="24"/>
                <w:szCs w:val="24"/>
                <w:vertAlign w:val="superscript"/>
              </w:rPr>
              <w:fldChar w:fldCharType="end"/>
            </w:r>
            <w:r>
              <w:rPr>
                <w:sz w:val="20"/>
              </w:rPr>
              <w:t xml:space="preserve">, drift rate </w:t>
            </w:r>
            <w:r>
              <w:rPr>
                <w:sz w:val="20"/>
              </w:rPr>
              <w:br/>
              <w:t>≤ 0.0005%</w:t>
            </w:r>
          </w:p>
        </w:tc>
        <w:tc>
          <w:tcPr>
            <w:tcW w:w="1192" w:type="dxa"/>
            <w:vMerge/>
            <w:tcBorders>
              <w:left w:val="single" w:sz="4" w:space="0" w:color="auto"/>
              <w:right w:val="single" w:sz="12" w:space="0" w:color="auto"/>
            </w:tcBorders>
            <w:vAlign w:val="center"/>
          </w:tcPr>
          <w:p w:rsidR="000E7AA2" w:rsidRPr="001B6505" w:rsidRDefault="000E7AA2" w:rsidP="00262064">
            <w:pPr>
              <w:pStyle w:val="BodyText2"/>
              <w:widowControl w:val="0"/>
              <w:numPr>
                <w:ilvl w:val="0"/>
                <w:numId w:val="0"/>
              </w:numPr>
              <w:spacing w:after="0"/>
              <w:jc w:val="center"/>
              <w:rPr>
                <w:sz w:val="20"/>
              </w:rPr>
            </w:pPr>
          </w:p>
        </w:tc>
      </w:tr>
      <w:tr w:rsidR="000E7AA2" w:rsidRPr="001B6505" w:rsidTr="000E7AA2">
        <w:trPr>
          <w:trHeight w:val="683"/>
          <w:jc w:val="center"/>
        </w:trPr>
        <w:tc>
          <w:tcPr>
            <w:tcW w:w="968" w:type="dxa"/>
            <w:tcBorders>
              <w:left w:val="single" w:sz="12" w:space="0" w:color="auto"/>
            </w:tcBorders>
            <w:vAlign w:val="center"/>
          </w:tcPr>
          <w:p w:rsidR="000E7AA2" w:rsidRPr="00E8321C" w:rsidRDefault="000E7AA2" w:rsidP="000E7AA2">
            <w:pPr>
              <w:pStyle w:val="BodyText2"/>
              <w:widowControl w:val="0"/>
              <w:numPr>
                <w:ilvl w:val="0"/>
                <w:numId w:val="0"/>
              </w:numPr>
              <w:spacing w:after="0"/>
              <w:jc w:val="center"/>
              <w:rPr>
                <w:sz w:val="20"/>
              </w:rPr>
            </w:pPr>
            <w:r>
              <w:rPr>
                <w:sz w:val="20"/>
              </w:rPr>
              <w:t>OH-0352</w:t>
            </w:r>
          </w:p>
        </w:tc>
        <w:tc>
          <w:tcPr>
            <w:tcW w:w="1134" w:type="dxa"/>
            <w:vAlign w:val="center"/>
          </w:tcPr>
          <w:p w:rsidR="000E7AA2" w:rsidRPr="00E8321C" w:rsidRDefault="000E7AA2" w:rsidP="000E7AA2">
            <w:pPr>
              <w:pStyle w:val="BodyText2"/>
              <w:widowControl w:val="0"/>
              <w:numPr>
                <w:ilvl w:val="0"/>
                <w:numId w:val="0"/>
              </w:numPr>
              <w:spacing w:after="0"/>
              <w:jc w:val="center"/>
              <w:rPr>
                <w:sz w:val="20"/>
              </w:rPr>
            </w:pPr>
            <w:r>
              <w:rPr>
                <w:sz w:val="20"/>
              </w:rPr>
              <w:t>06/18/2013</w:t>
            </w:r>
          </w:p>
        </w:tc>
        <w:tc>
          <w:tcPr>
            <w:tcW w:w="2167" w:type="dxa"/>
            <w:vAlign w:val="center"/>
          </w:tcPr>
          <w:p w:rsidR="000E7AA2" w:rsidRPr="00E8321C" w:rsidRDefault="000E7AA2" w:rsidP="000E7AA2">
            <w:pPr>
              <w:pStyle w:val="BodyText2"/>
              <w:widowControl w:val="0"/>
              <w:numPr>
                <w:ilvl w:val="0"/>
                <w:numId w:val="0"/>
              </w:numPr>
              <w:spacing w:after="0"/>
              <w:jc w:val="center"/>
              <w:rPr>
                <w:sz w:val="20"/>
              </w:rPr>
            </w:pPr>
            <w:r>
              <w:rPr>
                <w:sz w:val="20"/>
              </w:rPr>
              <w:t>16-cell mechanical draft wet cooling tower</w:t>
            </w:r>
          </w:p>
        </w:tc>
        <w:tc>
          <w:tcPr>
            <w:tcW w:w="1544" w:type="dxa"/>
            <w:vAlign w:val="center"/>
          </w:tcPr>
          <w:p w:rsidR="000E7AA2" w:rsidRPr="00E8321C" w:rsidRDefault="000E7AA2" w:rsidP="000E7AA2">
            <w:pPr>
              <w:pStyle w:val="BodyText2"/>
              <w:widowControl w:val="0"/>
              <w:numPr>
                <w:ilvl w:val="0"/>
                <w:numId w:val="0"/>
              </w:numPr>
              <w:spacing w:after="0"/>
              <w:jc w:val="center"/>
              <w:rPr>
                <w:sz w:val="20"/>
              </w:rPr>
            </w:pPr>
            <w:r>
              <w:rPr>
                <w:sz w:val="20"/>
              </w:rPr>
              <w:t>322,000 gal/min</w:t>
            </w:r>
          </w:p>
        </w:tc>
        <w:tc>
          <w:tcPr>
            <w:tcW w:w="1045" w:type="dxa"/>
            <w:vAlign w:val="center"/>
          </w:tcPr>
          <w:p w:rsidR="000E7AA2" w:rsidRDefault="000E7AA2" w:rsidP="000E7AA2">
            <w:pPr>
              <w:pStyle w:val="BodyText2"/>
              <w:widowControl w:val="0"/>
              <w:numPr>
                <w:ilvl w:val="0"/>
                <w:numId w:val="0"/>
              </w:numPr>
              <w:spacing w:after="0"/>
              <w:jc w:val="center"/>
              <w:rPr>
                <w:sz w:val="20"/>
              </w:rPr>
            </w:pPr>
            <w:r>
              <w:rPr>
                <w:sz w:val="20"/>
              </w:rPr>
              <w:t>Visible Emissions</w:t>
            </w:r>
          </w:p>
        </w:tc>
        <w:tc>
          <w:tcPr>
            <w:tcW w:w="2087" w:type="dxa"/>
            <w:tcBorders>
              <w:right w:val="single" w:sz="4" w:space="0" w:color="auto"/>
            </w:tcBorders>
            <w:vAlign w:val="center"/>
          </w:tcPr>
          <w:p w:rsidR="000E7AA2" w:rsidRDefault="000E7AA2" w:rsidP="000E7AA2">
            <w:pPr>
              <w:pStyle w:val="BodyText2"/>
              <w:widowControl w:val="0"/>
              <w:numPr>
                <w:ilvl w:val="0"/>
                <w:numId w:val="0"/>
              </w:numPr>
              <w:spacing w:after="0"/>
              <w:jc w:val="center"/>
              <w:rPr>
                <w:sz w:val="20"/>
              </w:rPr>
            </w:pPr>
            <w:r>
              <w:rPr>
                <w:sz w:val="20"/>
              </w:rPr>
              <w:t>10% opacity, 6-minute average</w:t>
            </w:r>
          </w:p>
        </w:tc>
        <w:tc>
          <w:tcPr>
            <w:tcW w:w="1192" w:type="dxa"/>
            <w:vMerge/>
            <w:tcBorders>
              <w:left w:val="single" w:sz="4" w:space="0" w:color="auto"/>
              <w:right w:val="single" w:sz="12" w:space="0" w:color="auto"/>
            </w:tcBorders>
            <w:vAlign w:val="center"/>
          </w:tcPr>
          <w:p w:rsidR="000E7AA2" w:rsidRDefault="000E7AA2" w:rsidP="000E7AA2">
            <w:pPr>
              <w:pStyle w:val="BodyText2"/>
              <w:widowControl w:val="0"/>
              <w:numPr>
                <w:ilvl w:val="0"/>
                <w:numId w:val="0"/>
              </w:numPr>
              <w:spacing w:after="0"/>
              <w:jc w:val="center"/>
              <w:rPr>
                <w:sz w:val="20"/>
              </w:rPr>
            </w:pPr>
          </w:p>
        </w:tc>
      </w:tr>
      <w:tr w:rsidR="003B2442" w:rsidRPr="001B6505" w:rsidTr="000E7AA2">
        <w:trPr>
          <w:trHeight w:val="710"/>
          <w:jc w:val="center"/>
        </w:trPr>
        <w:tc>
          <w:tcPr>
            <w:tcW w:w="968" w:type="dxa"/>
            <w:tcBorders>
              <w:left w:val="single" w:sz="12" w:space="0" w:color="auto"/>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KY-0106</w:t>
            </w:r>
          </w:p>
        </w:tc>
        <w:tc>
          <w:tcPr>
            <w:tcW w:w="1134" w:type="dxa"/>
            <w:tcBorders>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09/30/2016</w:t>
            </w:r>
          </w:p>
        </w:tc>
        <w:tc>
          <w:tcPr>
            <w:tcW w:w="2167" w:type="dxa"/>
            <w:tcBorders>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16-cell mechanical draft cooling tower</w:t>
            </w:r>
          </w:p>
        </w:tc>
        <w:tc>
          <w:tcPr>
            <w:tcW w:w="1544" w:type="dxa"/>
            <w:tcBorders>
              <w:bottom w:val="single" w:sz="12" w:space="0" w:color="auto"/>
            </w:tcBorders>
            <w:vAlign w:val="center"/>
          </w:tcPr>
          <w:p w:rsidR="003B2442" w:rsidRPr="00E8321C" w:rsidRDefault="003B2442" w:rsidP="00262064">
            <w:pPr>
              <w:pStyle w:val="BodyText2"/>
              <w:widowControl w:val="0"/>
              <w:numPr>
                <w:ilvl w:val="0"/>
                <w:numId w:val="0"/>
              </w:numPr>
              <w:spacing w:after="0"/>
              <w:jc w:val="center"/>
              <w:rPr>
                <w:sz w:val="20"/>
              </w:rPr>
            </w:pPr>
            <w:r>
              <w:rPr>
                <w:sz w:val="20"/>
              </w:rPr>
              <w:t>330,000 gal/min</w:t>
            </w:r>
          </w:p>
        </w:tc>
        <w:tc>
          <w:tcPr>
            <w:tcW w:w="1045" w:type="dxa"/>
            <w:tcBorders>
              <w:bottom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PM</w:t>
            </w:r>
          </w:p>
        </w:tc>
        <w:tc>
          <w:tcPr>
            <w:tcW w:w="2087" w:type="dxa"/>
            <w:tcBorders>
              <w:bottom w:val="single" w:sz="12" w:space="0" w:color="auto"/>
              <w:right w:val="single" w:sz="4" w:space="0" w:color="auto"/>
            </w:tcBorders>
            <w:vAlign w:val="center"/>
          </w:tcPr>
          <w:p w:rsidR="003B2442" w:rsidRPr="001B6505" w:rsidRDefault="003B2442" w:rsidP="00262064">
            <w:pPr>
              <w:pStyle w:val="BodyText2"/>
              <w:widowControl w:val="0"/>
              <w:numPr>
                <w:ilvl w:val="0"/>
                <w:numId w:val="0"/>
              </w:numPr>
              <w:spacing w:after="0"/>
              <w:jc w:val="center"/>
              <w:rPr>
                <w:sz w:val="20"/>
              </w:rPr>
            </w:pPr>
            <w:r>
              <w:rPr>
                <w:sz w:val="20"/>
              </w:rPr>
              <w:t>Drift rate</w:t>
            </w:r>
            <w:r>
              <w:rPr>
                <w:sz w:val="20"/>
              </w:rPr>
              <w:br/>
              <w:t xml:space="preserve"> ≤ 0.0005%</w:t>
            </w:r>
          </w:p>
        </w:tc>
        <w:tc>
          <w:tcPr>
            <w:tcW w:w="1192" w:type="dxa"/>
            <w:vMerge/>
            <w:tcBorders>
              <w:left w:val="single" w:sz="4" w:space="0" w:color="auto"/>
              <w:bottom w:val="single" w:sz="12" w:space="0" w:color="auto"/>
              <w:right w:val="single" w:sz="12" w:space="0" w:color="auto"/>
            </w:tcBorders>
            <w:vAlign w:val="center"/>
          </w:tcPr>
          <w:p w:rsidR="003B2442" w:rsidRPr="001B6505" w:rsidRDefault="003B2442" w:rsidP="00262064">
            <w:pPr>
              <w:pStyle w:val="BodyText2"/>
              <w:widowControl w:val="0"/>
              <w:numPr>
                <w:ilvl w:val="0"/>
                <w:numId w:val="0"/>
              </w:numPr>
              <w:spacing w:after="0"/>
              <w:jc w:val="center"/>
              <w:rPr>
                <w:sz w:val="20"/>
              </w:rPr>
            </w:pPr>
          </w:p>
        </w:tc>
      </w:tr>
      <w:tr w:rsidR="003B2442" w:rsidRPr="001B6505" w:rsidTr="000E7AA2">
        <w:trPr>
          <w:trHeight w:val="122"/>
          <w:jc w:val="center"/>
        </w:trPr>
        <w:tc>
          <w:tcPr>
            <w:tcW w:w="10140" w:type="dxa"/>
            <w:gridSpan w:val="7"/>
            <w:tcBorders>
              <w:top w:val="single" w:sz="12" w:space="0" w:color="auto"/>
              <w:left w:val="single" w:sz="12" w:space="0" w:color="auto"/>
              <w:bottom w:val="single" w:sz="12" w:space="0" w:color="auto"/>
              <w:right w:val="single" w:sz="12" w:space="0" w:color="auto"/>
            </w:tcBorders>
          </w:tcPr>
          <w:p w:rsidR="003B2442" w:rsidRDefault="003B2442" w:rsidP="00262064">
            <w:pPr>
              <w:pStyle w:val="BodyText2"/>
              <w:widowControl w:val="0"/>
              <w:numPr>
                <w:ilvl w:val="0"/>
                <w:numId w:val="0"/>
              </w:numPr>
              <w:spacing w:after="60"/>
              <w:jc w:val="left"/>
              <w:rPr>
                <w:sz w:val="20"/>
              </w:rPr>
            </w:pPr>
            <w:r w:rsidRPr="00E8321C">
              <w:rPr>
                <w:sz w:val="20"/>
              </w:rPr>
              <w:t xml:space="preserve">Abbreviations:  </w:t>
            </w:r>
            <w:r w:rsidR="00A13F09" w:rsidRPr="00A13F09">
              <w:rPr>
                <w:sz w:val="20"/>
              </w:rPr>
              <w:t>G</w:t>
            </w:r>
            <w:r>
              <w:rPr>
                <w:sz w:val="20"/>
              </w:rPr>
              <w:t>allons per minute (gal/min).</w:t>
            </w:r>
          </w:p>
          <w:p w:rsidR="003B2442" w:rsidRDefault="003B2442" w:rsidP="00086124">
            <w:pPr>
              <w:pStyle w:val="BodyText2"/>
              <w:widowControl w:val="0"/>
              <w:numPr>
                <w:ilvl w:val="0"/>
                <w:numId w:val="31"/>
              </w:numPr>
              <w:spacing w:after="0"/>
              <w:jc w:val="left"/>
              <w:rPr>
                <w:sz w:val="20"/>
              </w:rPr>
            </w:pPr>
            <w:bookmarkStart w:id="71" w:name="_Ref511215143"/>
            <w:r>
              <w:rPr>
                <w:sz w:val="20"/>
              </w:rPr>
              <w:t>There is a second limit of 4.50 tons/year, per rolling 12 months.</w:t>
            </w:r>
            <w:bookmarkEnd w:id="71"/>
          </w:p>
          <w:p w:rsidR="003B2442" w:rsidRPr="00506FF2" w:rsidRDefault="003B2442" w:rsidP="00086124">
            <w:pPr>
              <w:pStyle w:val="BodyText2"/>
              <w:widowControl w:val="0"/>
              <w:numPr>
                <w:ilvl w:val="0"/>
                <w:numId w:val="31"/>
              </w:numPr>
              <w:spacing w:after="0"/>
              <w:jc w:val="left"/>
              <w:rPr>
                <w:sz w:val="20"/>
              </w:rPr>
            </w:pPr>
            <w:bookmarkStart w:id="72" w:name="_Ref511215204"/>
            <w:r>
              <w:rPr>
                <w:sz w:val="20"/>
              </w:rPr>
              <w:t>There is a second limit of 0.0150 ton/year, per rolling 12 months.</w:t>
            </w:r>
            <w:bookmarkEnd w:id="72"/>
          </w:p>
        </w:tc>
      </w:tr>
    </w:tbl>
    <w:p w:rsidR="00190881" w:rsidRPr="009A4FA4" w:rsidRDefault="003B2442" w:rsidP="009A4FA4">
      <w:pPr>
        <w:pStyle w:val="ListParagraph"/>
        <w:widowControl w:val="0"/>
        <w:numPr>
          <w:ilvl w:val="1"/>
          <w:numId w:val="3"/>
        </w:numPr>
        <w:spacing w:before="120" w:after="120"/>
        <w:ind w:left="720" w:hanging="720"/>
        <w:contextualSpacing w:val="0"/>
        <w:rPr>
          <w:b/>
          <w:caps/>
          <w:sz w:val="22"/>
          <w:szCs w:val="22"/>
        </w:rPr>
      </w:pPr>
      <w:r w:rsidRPr="003B2442">
        <w:rPr>
          <w:b/>
          <w:sz w:val="22"/>
          <w:szCs w:val="22"/>
        </w:rPr>
        <w:t>Circuit Breakers</w:t>
      </w:r>
      <w:r w:rsidR="00804A73">
        <w:rPr>
          <w:b/>
          <w:sz w:val="22"/>
          <w:szCs w:val="22"/>
        </w:rPr>
        <w:t xml:space="preserve"> (EU </w:t>
      </w:r>
      <w:r w:rsidR="00235BBC">
        <w:rPr>
          <w:b/>
          <w:sz w:val="22"/>
          <w:szCs w:val="22"/>
        </w:rPr>
        <w:t>006</w:t>
      </w:r>
      <w:r w:rsidR="00804A73">
        <w:rPr>
          <w:b/>
          <w:sz w:val="22"/>
          <w:szCs w:val="22"/>
        </w:rPr>
        <w:t>)</w:t>
      </w:r>
    </w:p>
    <w:p w:rsidR="00A12BE9" w:rsidRPr="00A12BE9" w:rsidRDefault="00D86ED9" w:rsidP="00A12BE9">
      <w:pPr>
        <w:widowControl w:val="0"/>
        <w:spacing w:after="120"/>
        <w:rPr>
          <w:sz w:val="22"/>
          <w:szCs w:val="22"/>
        </w:rPr>
      </w:pPr>
      <w:r>
        <w:rPr>
          <w:sz w:val="22"/>
          <w:szCs w:val="22"/>
        </w:rPr>
        <w:t>T</w:t>
      </w:r>
      <w:r w:rsidR="00A12BE9" w:rsidRPr="00A12BE9">
        <w:rPr>
          <w:sz w:val="22"/>
          <w:szCs w:val="22"/>
        </w:rPr>
        <w:t xml:space="preserve">he Project will </w:t>
      </w:r>
      <w:r w:rsidR="008724B6">
        <w:rPr>
          <w:sz w:val="22"/>
          <w:szCs w:val="22"/>
        </w:rPr>
        <w:t>also include</w:t>
      </w:r>
      <w:r w:rsidR="00A12BE9" w:rsidRPr="00A12BE9">
        <w:rPr>
          <w:sz w:val="22"/>
          <w:szCs w:val="22"/>
        </w:rPr>
        <w:t xml:space="preserve"> circuit breakers in the power block</w:t>
      </w:r>
      <w:r w:rsidR="008724B6">
        <w:rPr>
          <w:sz w:val="22"/>
          <w:szCs w:val="22"/>
        </w:rPr>
        <w:t>, which</w:t>
      </w:r>
      <w:r w:rsidR="00A12BE9" w:rsidRPr="00A12BE9">
        <w:rPr>
          <w:sz w:val="22"/>
          <w:szCs w:val="22"/>
        </w:rPr>
        <w:t xml:space="preserve"> contain </w:t>
      </w:r>
      <w:r w:rsidR="00567B08">
        <w:rPr>
          <w:sz w:val="22"/>
          <w:szCs w:val="22"/>
        </w:rPr>
        <w:t>a GHG</w:t>
      </w:r>
      <w:r w:rsidR="002E1267" w:rsidRPr="002E1267">
        <w:rPr>
          <w:sz w:val="22"/>
          <w:szCs w:val="22"/>
        </w:rPr>
        <w:t xml:space="preserve"> known as sulfur hexafluoride (SF</w:t>
      </w:r>
      <w:r w:rsidR="002E1267" w:rsidRPr="002E1267">
        <w:rPr>
          <w:sz w:val="22"/>
          <w:szCs w:val="22"/>
          <w:vertAlign w:val="subscript"/>
        </w:rPr>
        <w:t>6</w:t>
      </w:r>
      <w:r w:rsidR="002E1267" w:rsidRPr="002E1267">
        <w:rPr>
          <w:sz w:val="22"/>
          <w:szCs w:val="22"/>
        </w:rPr>
        <w:t>)</w:t>
      </w:r>
      <w:r w:rsidR="002E1267">
        <w:rPr>
          <w:sz w:val="22"/>
          <w:szCs w:val="22"/>
        </w:rPr>
        <w:t>.</w:t>
      </w:r>
      <w:r w:rsidR="00A12BE9" w:rsidRPr="00A12BE9">
        <w:rPr>
          <w:sz w:val="22"/>
          <w:szCs w:val="22"/>
        </w:rPr>
        <w:t xml:space="preserve"> </w:t>
      </w:r>
      <w:r w:rsidR="00E94E48">
        <w:rPr>
          <w:sz w:val="22"/>
          <w:szCs w:val="22"/>
        </w:rPr>
        <w:t xml:space="preserve"> </w:t>
      </w:r>
      <w:r w:rsidR="00A12BE9" w:rsidRPr="00A12BE9">
        <w:rPr>
          <w:sz w:val="22"/>
          <w:szCs w:val="22"/>
        </w:rPr>
        <w:t>SF</w:t>
      </w:r>
      <w:r w:rsidR="00A12BE9" w:rsidRPr="00E26EDE">
        <w:rPr>
          <w:sz w:val="22"/>
          <w:szCs w:val="22"/>
          <w:vertAlign w:val="subscript"/>
        </w:rPr>
        <w:t>6</w:t>
      </w:r>
      <w:r w:rsidR="00A12BE9" w:rsidRPr="00A12BE9">
        <w:rPr>
          <w:sz w:val="22"/>
          <w:szCs w:val="22"/>
        </w:rPr>
        <w:t xml:space="preserve"> is an electrical insulator and interrupter in equipment that transmits and distributes electricity. </w:t>
      </w:r>
      <w:r w:rsidR="00E94E48">
        <w:rPr>
          <w:sz w:val="22"/>
          <w:szCs w:val="22"/>
        </w:rPr>
        <w:t xml:space="preserve"> </w:t>
      </w:r>
      <w:r w:rsidR="00A12BE9" w:rsidRPr="00A12BE9">
        <w:rPr>
          <w:sz w:val="22"/>
          <w:szCs w:val="22"/>
        </w:rPr>
        <w:t>SF</w:t>
      </w:r>
      <w:r w:rsidR="00A12BE9" w:rsidRPr="00E26EDE">
        <w:rPr>
          <w:sz w:val="22"/>
          <w:szCs w:val="22"/>
          <w:vertAlign w:val="subscript"/>
        </w:rPr>
        <w:t>6</w:t>
      </w:r>
      <w:r w:rsidR="00A12BE9" w:rsidRPr="00A12BE9">
        <w:rPr>
          <w:sz w:val="22"/>
          <w:szCs w:val="22"/>
        </w:rPr>
        <w:t xml:space="preserve"> has been broadly used in the U.S. due to its dielectric strength and arc-quenching characteristics and has replaced flammable insulating oils.</w:t>
      </w:r>
    </w:p>
    <w:p w:rsidR="007F0B09" w:rsidRPr="006C19BE" w:rsidRDefault="007F0B09" w:rsidP="00D3774C">
      <w:pPr>
        <w:widowControl w:val="0"/>
        <w:spacing w:after="120"/>
        <w:rPr>
          <w:sz w:val="22"/>
          <w:szCs w:val="22"/>
          <w:u w:val="single"/>
        </w:rPr>
      </w:pPr>
      <w:r w:rsidRPr="006C19BE">
        <w:rPr>
          <w:sz w:val="22"/>
          <w:szCs w:val="22"/>
          <w:u w:val="single"/>
        </w:rPr>
        <w:t>Identification of Control Technologies</w:t>
      </w:r>
    </w:p>
    <w:p w:rsidR="007F0B09" w:rsidRPr="001D55FC" w:rsidRDefault="006B6EBA" w:rsidP="00D3774C">
      <w:pPr>
        <w:widowControl w:val="0"/>
        <w:spacing w:after="120"/>
        <w:rPr>
          <w:sz w:val="22"/>
          <w:szCs w:val="22"/>
        </w:rPr>
      </w:pPr>
      <w:r w:rsidRPr="006B6EBA">
        <w:rPr>
          <w:sz w:val="22"/>
          <w:szCs w:val="22"/>
        </w:rPr>
        <w:t>As electrical equipment ages and reaches the end of it</w:t>
      </w:r>
      <w:r>
        <w:rPr>
          <w:sz w:val="22"/>
          <w:szCs w:val="22"/>
        </w:rPr>
        <w:t>s</w:t>
      </w:r>
      <w:r w:rsidRPr="006B6EBA">
        <w:rPr>
          <w:sz w:val="22"/>
          <w:szCs w:val="22"/>
        </w:rPr>
        <w:t xml:space="preserve"> operational service life, replacement rather than equipment repair may provide the more attractive SF</w:t>
      </w:r>
      <w:r w:rsidRPr="006B6EBA">
        <w:rPr>
          <w:sz w:val="22"/>
          <w:szCs w:val="22"/>
          <w:vertAlign w:val="subscript"/>
        </w:rPr>
        <w:t>6</w:t>
      </w:r>
      <w:r w:rsidRPr="006B6EBA">
        <w:rPr>
          <w:sz w:val="22"/>
          <w:szCs w:val="22"/>
        </w:rPr>
        <w:t xml:space="preserve"> mitigation strategy. </w:t>
      </w:r>
      <w:r>
        <w:rPr>
          <w:sz w:val="22"/>
          <w:szCs w:val="22"/>
        </w:rPr>
        <w:t xml:space="preserve"> </w:t>
      </w:r>
      <w:r w:rsidRPr="006B6EBA">
        <w:rPr>
          <w:sz w:val="22"/>
          <w:szCs w:val="22"/>
        </w:rPr>
        <w:t xml:space="preserve">Many equipment manufacturers now guarantee minimal to zero leak rates for new equipment. </w:t>
      </w:r>
      <w:r>
        <w:rPr>
          <w:sz w:val="22"/>
          <w:szCs w:val="22"/>
        </w:rPr>
        <w:t xml:space="preserve"> </w:t>
      </w:r>
      <w:r w:rsidRPr="006B6EBA">
        <w:rPr>
          <w:sz w:val="22"/>
          <w:szCs w:val="22"/>
        </w:rPr>
        <w:t>Additionally, industry standards recommend that new equipment be built to low leakage limits</w:t>
      </w:r>
      <w:r>
        <w:rPr>
          <w:sz w:val="22"/>
          <w:szCs w:val="22"/>
        </w:rPr>
        <w:t>.</w:t>
      </w:r>
      <w:r>
        <w:rPr>
          <w:rStyle w:val="FootnoteReference"/>
          <w:sz w:val="22"/>
          <w:szCs w:val="22"/>
        </w:rPr>
        <w:footnoteReference w:id="11"/>
      </w:r>
    </w:p>
    <w:p w:rsidR="007F0B09" w:rsidRPr="006C19BE" w:rsidRDefault="007F0B09" w:rsidP="00D3774C">
      <w:pPr>
        <w:widowControl w:val="0"/>
        <w:spacing w:after="120"/>
        <w:rPr>
          <w:sz w:val="22"/>
          <w:szCs w:val="22"/>
          <w:u w:val="single"/>
        </w:rPr>
      </w:pPr>
      <w:r w:rsidRPr="006C19BE">
        <w:rPr>
          <w:sz w:val="22"/>
          <w:szCs w:val="22"/>
          <w:u w:val="single"/>
        </w:rPr>
        <w:t>Discussion of Technically Infeasible Control Options and Ranking of Remaining Options</w:t>
      </w:r>
    </w:p>
    <w:p w:rsidR="007F0B09" w:rsidRPr="005A5BAB" w:rsidRDefault="005A5BAB" w:rsidP="005A5BAB">
      <w:pPr>
        <w:widowControl w:val="0"/>
        <w:spacing w:after="120"/>
        <w:rPr>
          <w:sz w:val="22"/>
          <w:szCs w:val="22"/>
        </w:rPr>
      </w:pPr>
      <w:r w:rsidRPr="005A5BAB">
        <w:rPr>
          <w:sz w:val="22"/>
          <w:szCs w:val="22"/>
        </w:rPr>
        <w:t>Circuit breakers are required for connection of the electric power generated to the transmission and</w:t>
      </w:r>
      <w:r>
        <w:rPr>
          <w:sz w:val="22"/>
          <w:szCs w:val="22"/>
        </w:rPr>
        <w:t xml:space="preserve"> </w:t>
      </w:r>
      <w:r w:rsidRPr="005A5BAB">
        <w:rPr>
          <w:sz w:val="22"/>
          <w:szCs w:val="22"/>
        </w:rPr>
        <w:t xml:space="preserve">distribution system through the facilities located on the site. </w:t>
      </w:r>
      <w:r>
        <w:rPr>
          <w:sz w:val="22"/>
          <w:szCs w:val="22"/>
        </w:rPr>
        <w:t xml:space="preserve"> </w:t>
      </w:r>
      <w:r w:rsidR="00475E35" w:rsidRPr="00475E35">
        <w:rPr>
          <w:sz w:val="22"/>
          <w:szCs w:val="22"/>
        </w:rPr>
        <w:t>The use of alternative dielectric fluids is not practical for high voltage applications.  Circuit breakers using SF</w:t>
      </w:r>
      <w:r w:rsidR="00475E35" w:rsidRPr="00475E35">
        <w:rPr>
          <w:sz w:val="22"/>
          <w:szCs w:val="22"/>
          <w:vertAlign w:val="subscript"/>
        </w:rPr>
        <w:t>6</w:t>
      </w:r>
      <w:r w:rsidR="00475E35" w:rsidRPr="00475E35">
        <w:rPr>
          <w:sz w:val="22"/>
          <w:szCs w:val="22"/>
        </w:rPr>
        <w:t xml:space="preserve"> with alarms and periodic inspection are technically feasible for the project.  </w:t>
      </w:r>
      <w:r w:rsidRPr="005A5BAB">
        <w:rPr>
          <w:sz w:val="22"/>
          <w:szCs w:val="22"/>
        </w:rPr>
        <w:t>The</w:t>
      </w:r>
      <w:r>
        <w:rPr>
          <w:sz w:val="22"/>
          <w:szCs w:val="22"/>
        </w:rPr>
        <w:t>refore, the</w:t>
      </w:r>
      <w:r w:rsidRPr="005A5BAB">
        <w:rPr>
          <w:sz w:val="22"/>
          <w:szCs w:val="22"/>
        </w:rPr>
        <w:t xml:space="preserve"> applicant has </w:t>
      </w:r>
      <w:r>
        <w:rPr>
          <w:sz w:val="22"/>
          <w:szCs w:val="22"/>
        </w:rPr>
        <w:t xml:space="preserve">selected </w:t>
      </w:r>
      <w:r w:rsidR="002E1267">
        <w:rPr>
          <w:sz w:val="22"/>
          <w:szCs w:val="22"/>
        </w:rPr>
        <w:t>two circuit breakers that will be designed to have low leakage rates as a feasible control option for GHG.</w:t>
      </w:r>
      <w:r w:rsidR="00475E35" w:rsidRPr="00475E35">
        <w:t xml:space="preserve"> </w:t>
      </w:r>
      <w:r w:rsidR="00475E35">
        <w:t xml:space="preserve"> </w:t>
      </w:r>
      <w:r w:rsidR="00475E35" w:rsidRPr="00475E35">
        <w:rPr>
          <w:sz w:val="22"/>
          <w:szCs w:val="22"/>
        </w:rPr>
        <w:t>Circuit breakers using SF</w:t>
      </w:r>
      <w:r w:rsidR="00475E35" w:rsidRPr="00475E35">
        <w:rPr>
          <w:sz w:val="22"/>
          <w:szCs w:val="22"/>
          <w:vertAlign w:val="subscript"/>
        </w:rPr>
        <w:t>6</w:t>
      </w:r>
      <w:r w:rsidR="00475E35" w:rsidRPr="00475E35">
        <w:rPr>
          <w:sz w:val="22"/>
          <w:szCs w:val="22"/>
        </w:rPr>
        <w:t xml:space="preserve"> insulating gas are presently superior in their performance to alternative systems using dielectric oil, high pressure air blast, or vacuum circuit breakers.</w:t>
      </w:r>
    </w:p>
    <w:p w:rsidR="007F0B09" w:rsidRDefault="007F0B09" w:rsidP="00D3774C">
      <w:pPr>
        <w:widowControl w:val="0"/>
        <w:spacing w:after="120"/>
        <w:rPr>
          <w:sz w:val="22"/>
          <w:szCs w:val="22"/>
          <w:u w:val="single"/>
        </w:rPr>
      </w:pPr>
      <w:r w:rsidRPr="00297927">
        <w:rPr>
          <w:sz w:val="22"/>
          <w:szCs w:val="22"/>
          <w:u w:val="single"/>
        </w:rPr>
        <w:t>Evaluation of Economic, Environmental, and Energy Impacts of Feasible Technologies</w:t>
      </w:r>
    </w:p>
    <w:p w:rsidR="001D55FC" w:rsidRDefault="00CE40BB" w:rsidP="0092688D">
      <w:pPr>
        <w:widowControl w:val="0"/>
        <w:spacing w:after="60"/>
        <w:rPr>
          <w:sz w:val="22"/>
          <w:szCs w:val="22"/>
        </w:rPr>
      </w:pPr>
      <w:r w:rsidRPr="00CE40BB">
        <w:rPr>
          <w:sz w:val="22"/>
          <w:szCs w:val="22"/>
        </w:rPr>
        <w:t>The circuit breakers associated with the Project</w:t>
      </w:r>
      <w:r>
        <w:rPr>
          <w:sz w:val="22"/>
          <w:szCs w:val="22"/>
        </w:rPr>
        <w:t xml:space="preserve"> </w:t>
      </w:r>
      <w:r w:rsidRPr="00CE40BB">
        <w:rPr>
          <w:sz w:val="22"/>
          <w:szCs w:val="22"/>
        </w:rPr>
        <w:t>are estimate</w:t>
      </w:r>
      <w:r>
        <w:rPr>
          <w:sz w:val="22"/>
          <w:szCs w:val="22"/>
        </w:rPr>
        <w:t>d to contain approximately 100 pounds</w:t>
      </w:r>
      <w:r w:rsidRPr="00CE40BB">
        <w:rPr>
          <w:sz w:val="22"/>
          <w:szCs w:val="22"/>
        </w:rPr>
        <w:t xml:space="preserve"> of SF</w:t>
      </w:r>
      <w:r w:rsidRPr="00CE40BB">
        <w:rPr>
          <w:sz w:val="22"/>
          <w:szCs w:val="22"/>
          <w:vertAlign w:val="subscript"/>
        </w:rPr>
        <w:t>6</w:t>
      </w:r>
      <w:r w:rsidRPr="00CE40BB">
        <w:rPr>
          <w:sz w:val="22"/>
          <w:szCs w:val="22"/>
        </w:rPr>
        <w:t xml:space="preserve"> each. </w:t>
      </w:r>
      <w:r w:rsidR="00E663CE">
        <w:rPr>
          <w:sz w:val="22"/>
          <w:szCs w:val="22"/>
        </w:rPr>
        <w:t xml:space="preserve"> The applicant </w:t>
      </w:r>
      <w:r w:rsidR="00E663CE" w:rsidRPr="00CE40BB">
        <w:rPr>
          <w:sz w:val="22"/>
          <w:szCs w:val="22"/>
        </w:rPr>
        <w:t>estimated GHG emissio</w:t>
      </w:r>
      <w:r w:rsidR="00E663CE">
        <w:rPr>
          <w:sz w:val="22"/>
          <w:szCs w:val="22"/>
        </w:rPr>
        <w:t>ns from the circuit breakers</w:t>
      </w:r>
      <w:r w:rsidR="00E663CE" w:rsidRPr="00CE40BB">
        <w:rPr>
          <w:sz w:val="22"/>
          <w:szCs w:val="22"/>
        </w:rPr>
        <w:t xml:space="preserve"> as follows</w:t>
      </w:r>
      <w:r w:rsidR="00E663CE">
        <w:rPr>
          <w:sz w:val="22"/>
          <w:szCs w:val="22"/>
        </w:rPr>
        <w:t>, b</w:t>
      </w:r>
      <w:r w:rsidRPr="00CE40BB">
        <w:rPr>
          <w:sz w:val="22"/>
          <w:szCs w:val="22"/>
        </w:rPr>
        <w:t>ased on a design leak rate of 0.5 percent</w:t>
      </w:r>
      <w:r>
        <w:rPr>
          <w:sz w:val="22"/>
          <w:szCs w:val="22"/>
        </w:rPr>
        <w:t xml:space="preserve"> </w:t>
      </w:r>
      <w:r w:rsidR="00E663CE">
        <w:rPr>
          <w:sz w:val="22"/>
          <w:szCs w:val="22"/>
        </w:rPr>
        <w:t>per year</w:t>
      </w:r>
      <w:r w:rsidRPr="00CE40BB">
        <w:rPr>
          <w:sz w:val="22"/>
          <w:szCs w:val="22"/>
        </w:rPr>
        <w:t>:</w:t>
      </w:r>
    </w:p>
    <w:p w:rsidR="00CE40BB" w:rsidRPr="00E663CE" w:rsidRDefault="00475E35" w:rsidP="0092688D">
      <w:pPr>
        <w:widowControl w:val="0"/>
        <w:spacing w:after="60"/>
        <w:rPr>
          <w:sz w:val="22"/>
          <w:szCs w:val="22"/>
        </w:rPr>
      </w:pPr>
      <m:oMathPara>
        <m:oMath>
          <m:r>
            <w:rPr>
              <w:rFonts w:ascii="Cambria Math" w:hAnsi="Cambria Math"/>
              <w:sz w:val="22"/>
              <w:szCs w:val="22"/>
            </w:rPr>
            <m:t xml:space="preserve">100 lb </m:t>
          </m:r>
          <m:sSub>
            <m:sSubPr>
              <m:ctrlPr>
                <w:rPr>
                  <w:rFonts w:ascii="Cambria Math" w:hAnsi="Cambria Math"/>
                  <w:i/>
                  <w:sz w:val="22"/>
                  <w:szCs w:val="22"/>
                </w:rPr>
              </m:ctrlPr>
            </m:sSubPr>
            <m:e>
              <m:r>
                <w:rPr>
                  <w:rFonts w:ascii="Cambria Math" w:hAnsi="Cambria Math"/>
                  <w:sz w:val="22"/>
                  <w:szCs w:val="22"/>
                </w:rPr>
                <m:t>SF</m:t>
              </m:r>
            </m:e>
            <m:sub>
              <m:r>
                <w:rPr>
                  <w:rFonts w:ascii="Cambria Math" w:hAnsi="Cambria Math"/>
                  <w:sz w:val="22"/>
                  <w:szCs w:val="22"/>
                </w:rPr>
                <m:t>6</m:t>
              </m:r>
            </m:sub>
          </m:sSub>
          <m:r>
            <w:rPr>
              <w:rFonts w:ascii="Cambria Math" w:hAnsi="Cambria Math"/>
              <w:sz w:val="22"/>
              <w:szCs w:val="22"/>
            </w:rPr>
            <m:t xml:space="preserve"> ×0.005</m:t>
          </m:r>
          <m:f>
            <m:fPr>
              <m:type m:val="lin"/>
              <m:ctrlPr>
                <w:rPr>
                  <w:rFonts w:ascii="Cambria Math" w:hAnsi="Cambria Math"/>
                  <w:i/>
                  <w:sz w:val="22"/>
                  <w:szCs w:val="22"/>
                </w:rPr>
              </m:ctrlPr>
            </m:fPr>
            <m:num>
              <m:r>
                <w:rPr>
                  <w:rFonts w:ascii="Cambria Math" w:hAnsi="Cambria Math"/>
                  <w:sz w:val="22"/>
                  <w:szCs w:val="22"/>
                </w:rPr>
                <m:t>leakage</m:t>
              </m:r>
            </m:num>
            <m:den>
              <m:r>
                <w:rPr>
                  <w:rFonts w:ascii="Cambria Math" w:hAnsi="Cambria Math"/>
                  <w:sz w:val="22"/>
                  <w:szCs w:val="22"/>
                </w:rPr>
                <m:t>year</m:t>
              </m:r>
            </m:den>
          </m:f>
          <m:r>
            <w:rPr>
              <w:rFonts w:ascii="Cambria Math" w:hAnsi="Cambria Math"/>
              <w:sz w:val="22"/>
              <w:szCs w:val="22"/>
            </w:rPr>
            <m:t xml:space="preserve">=0.5 lb </m:t>
          </m:r>
          <m:sSub>
            <m:sSubPr>
              <m:ctrlPr>
                <w:rPr>
                  <w:rFonts w:ascii="Cambria Math" w:hAnsi="Cambria Math"/>
                  <w:i/>
                  <w:sz w:val="22"/>
                  <w:szCs w:val="22"/>
                </w:rPr>
              </m:ctrlPr>
            </m:sSubPr>
            <m:e>
              <m:r>
                <w:rPr>
                  <w:rFonts w:ascii="Cambria Math" w:hAnsi="Cambria Math"/>
                  <w:sz w:val="22"/>
                  <w:szCs w:val="22"/>
                </w:rPr>
                <m:t>SF</m:t>
              </m:r>
            </m:e>
            <m:sub>
              <m:r>
                <w:rPr>
                  <w:rFonts w:ascii="Cambria Math" w:hAnsi="Cambria Math"/>
                  <w:sz w:val="22"/>
                  <w:szCs w:val="22"/>
                </w:rPr>
                <m:t>6</m:t>
              </m:r>
            </m:sub>
          </m:sSub>
          <m:r>
            <w:rPr>
              <w:rFonts w:ascii="Cambria Math" w:hAnsi="Cambria Math"/>
              <w:sz w:val="22"/>
              <w:szCs w:val="22"/>
            </w:rPr>
            <m:t xml:space="preserve"> per year</m:t>
          </m:r>
        </m:oMath>
      </m:oMathPara>
    </w:p>
    <w:p w:rsidR="00E663CE" w:rsidRPr="00965A33" w:rsidRDefault="00E663CE" w:rsidP="0092688D">
      <w:pPr>
        <w:widowControl w:val="0"/>
        <w:spacing w:after="60"/>
        <w:rPr>
          <w:sz w:val="22"/>
          <w:szCs w:val="22"/>
        </w:rPr>
      </w:pPr>
      <m:oMathPara>
        <m:oMath>
          <m:r>
            <w:rPr>
              <w:rFonts w:ascii="Cambria Math" w:hAnsi="Cambria Math"/>
              <w:sz w:val="22"/>
              <w:szCs w:val="22"/>
            </w:rPr>
            <m:t xml:space="preserve">0.5 lb </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SF</m:t>
                  </m:r>
                </m:e>
                <m:sub>
                  <m:r>
                    <w:rPr>
                      <w:rFonts w:ascii="Cambria Math" w:hAnsi="Cambria Math"/>
                      <w:sz w:val="22"/>
                      <w:szCs w:val="22"/>
                    </w:rPr>
                    <m:t>6</m:t>
                  </m:r>
                </m:sub>
              </m:sSub>
            </m:num>
            <m:den>
              <m:r>
                <w:rPr>
                  <w:rFonts w:ascii="Cambria Math" w:hAnsi="Cambria Math"/>
                  <w:sz w:val="22"/>
                  <w:szCs w:val="22"/>
                </w:rPr>
                <m:t>year</m:t>
              </m:r>
            </m:den>
          </m:f>
          <m:r>
            <w:rPr>
              <w:rFonts w:ascii="Cambria Math" w:hAnsi="Cambria Math"/>
              <w:sz w:val="22"/>
              <w:szCs w:val="22"/>
            </w:rPr>
            <m:t>×22,800</m:t>
          </m:r>
          <m:sSup>
            <m:sSupPr>
              <m:ctrlPr>
                <w:rPr>
                  <w:rFonts w:ascii="Cambria Math" w:hAnsi="Cambria Math"/>
                  <w:i/>
                  <w:sz w:val="22"/>
                  <w:szCs w:val="22"/>
                </w:rPr>
              </m:ctrlPr>
            </m:sSupPr>
            <m:e>
              <m:f>
                <m:fPr>
                  <m:ctrlPr>
                    <w:rPr>
                      <w:rFonts w:ascii="Cambria Math" w:hAnsi="Cambria Math"/>
                      <w:i/>
                      <w:sz w:val="22"/>
                      <w:szCs w:val="22"/>
                    </w:rPr>
                  </m:ctrlPr>
                </m:fPr>
                <m:num>
                  <m:r>
                    <w:rPr>
                      <w:rFonts w:ascii="Cambria Math" w:hAnsi="Cambria Math"/>
                      <w:sz w:val="22"/>
                      <w:szCs w:val="22"/>
                    </w:rPr>
                    <m:t xml:space="preserve">lb </m:t>
                  </m:r>
                  <m:sSub>
                    <m:sSubPr>
                      <m:ctrlPr>
                        <w:rPr>
                          <w:rFonts w:ascii="Cambria Math" w:hAnsi="Cambria Math"/>
                          <w:i/>
                          <w:sz w:val="22"/>
                          <w:szCs w:val="22"/>
                        </w:rPr>
                      </m:ctrlPr>
                    </m:sSubPr>
                    <m:e>
                      <m:r>
                        <w:rPr>
                          <w:rFonts w:ascii="Cambria Math" w:hAnsi="Cambria Math"/>
                          <w:sz w:val="22"/>
                          <w:szCs w:val="22"/>
                        </w:rPr>
                        <m:t>CO</m:t>
                      </m:r>
                    </m:e>
                    <m:sub>
                      <m:r>
                        <w:rPr>
                          <w:rFonts w:ascii="Cambria Math" w:hAnsi="Cambria Math"/>
                          <w:sz w:val="22"/>
                          <w:szCs w:val="22"/>
                        </w:rPr>
                        <m:t>2</m:t>
                      </m:r>
                    </m:sub>
                  </m:sSub>
                  <m:r>
                    <w:rPr>
                      <w:rFonts w:ascii="Cambria Math" w:hAnsi="Cambria Math"/>
                      <w:sz w:val="22"/>
                      <w:szCs w:val="22"/>
                    </w:rPr>
                    <m:t>e</m:t>
                  </m:r>
                </m:num>
                <m:den>
                  <m:r>
                    <w:rPr>
                      <w:rFonts w:ascii="Cambria Math" w:hAnsi="Cambria Math"/>
                      <w:sz w:val="22"/>
                      <w:szCs w:val="22"/>
                    </w:rPr>
                    <m:t xml:space="preserve"> lb </m:t>
                  </m:r>
                  <m:sSub>
                    <m:sSubPr>
                      <m:ctrlPr>
                        <w:rPr>
                          <w:rFonts w:ascii="Cambria Math" w:hAnsi="Cambria Math"/>
                          <w:i/>
                          <w:sz w:val="22"/>
                          <w:szCs w:val="22"/>
                        </w:rPr>
                      </m:ctrlPr>
                    </m:sSubPr>
                    <m:e>
                      <m:r>
                        <w:rPr>
                          <w:rFonts w:ascii="Cambria Math" w:hAnsi="Cambria Math"/>
                          <w:sz w:val="22"/>
                          <w:szCs w:val="22"/>
                        </w:rPr>
                        <m:t>SF</m:t>
                      </m:r>
                    </m:e>
                    <m:sub>
                      <m:r>
                        <w:rPr>
                          <w:rFonts w:ascii="Cambria Math" w:hAnsi="Cambria Math"/>
                          <w:sz w:val="22"/>
                          <w:szCs w:val="22"/>
                        </w:rPr>
                        <m:t>6</m:t>
                      </m:r>
                    </m:sub>
                  </m:sSub>
                </m:den>
              </m:f>
            </m:e>
            <m:sup>
              <m:r>
                <w:rPr>
                  <w:rFonts w:ascii="Cambria Math" w:hAnsi="Cambria Math"/>
                  <w:sz w:val="22"/>
                  <w:szCs w:val="22"/>
                </w:rPr>
                <m:t>*</m:t>
              </m:r>
            </m:sup>
          </m:sSup>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1 ton</m:t>
              </m:r>
            </m:num>
            <m:den>
              <m:r>
                <w:rPr>
                  <w:rFonts w:ascii="Cambria Math" w:hAnsi="Cambria Math"/>
                  <w:sz w:val="22"/>
                  <w:szCs w:val="22"/>
                </w:rPr>
                <m:t>2,000 lb</m:t>
              </m:r>
            </m:den>
          </m:f>
          <m:r>
            <w:rPr>
              <w:rFonts w:ascii="Cambria Math" w:hAnsi="Cambria Math"/>
              <w:sz w:val="22"/>
              <w:szCs w:val="22"/>
            </w:rPr>
            <m:t xml:space="preserve">=5.7 tons of </m:t>
          </m:r>
          <m:sSub>
            <m:sSubPr>
              <m:ctrlPr>
                <w:rPr>
                  <w:rFonts w:ascii="Cambria Math" w:hAnsi="Cambria Math"/>
                  <w:i/>
                  <w:sz w:val="22"/>
                  <w:szCs w:val="22"/>
                </w:rPr>
              </m:ctrlPr>
            </m:sSubPr>
            <m:e>
              <m:r>
                <w:rPr>
                  <w:rFonts w:ascii="Cambria Math" w:hAnsi="Cambria Math"/>
                  <w:sz w:val="22"/>
                  <w:szCs w:val="22"/>
                </w:rPr>
                <m:t>CO</m:t>
              </m:r>
            </m:e>
            <m:sub>
              <m:r>
                <w:rPr>
                  <w:rFonts w:ascii="Cambria Math" w:hAnsi="Cambria Math"/>
                  <w:sz w:val="22"/>
                  <w:szCs w:val="22"/>
                </w:rPr>
                <m:t>2</m:t>
              </m:r>
            </m:sub>
          </m:sSub>
          <m:r>
            <w:rPr>
              <w:rFonts w:ascii="Cambria Math" w:hAnsi="Cambria Math"/>
              <w:sz w:val="22"/>
              <w:szCs w:val="22"/>
            </w:rPr>
            <m:t>e  per year</m:t>
          </m:r>
        </m:oMath>
      </m:oMathPara>
    </w:p>
    <w:p w:rsidR="00965A33" w:rsidRPr="00E549EB" w:rsidRDefault="00C94301" w:rsidP="00E549EB">
      <w:pPr>
        <w:widowControl w:val="0"/>
        <w:spacing w:after="120"/>
        <w:jc w:val="center"/>
        <w:rPr>
          <w:i/>
          <w:sz w:val="22"/>
          <w:szCs w:val="22"/>
        </w:rPr>
      </w:pPr>
      <w:r>
        <w:rPr>
          <w:i/>
          <w:szCs w:val="22"/>
        </w:rPr>
        <w:t xml:space="preserve">* </w:t>
      </w:r>
      <w:r w:rsidR="00E549EB" w:rsidRPr="00E549EB">
        <w:rPr>
          <w:i/>
          <w:szCs w:val="22"/>
        </w:rPr>
        <w:t xml:space="preserve">GWP </w:t>
      </w:r>
      <w:r w:rsidR="001B4961">
        <w:rPr>
          <w:i/>
          <w:szCs w:val="22"/>
        </w:rPr>
        <w:t>factor</w:t>
      </w:r>
      <w:r w:rsidR="00E549EB" w:rsidRPr="00E549EB">
        <w:rPr>
          <w:i/>
          <w:szCs w:val="22"/>
        </w:rPr>
        <w:t xml:space="preserve"> </w:t>
      </w:r>
      <w:r w:rsidR="001B4961">
        <w:rPr>
          <w:i/>
          <w:szCs w:val="22"/>
        </w:rPr>
        <w:t>s</w:t>
      </w:r>
      <w:r w:rsidR="00E549EB" w:rsidRPr="00E549EB">
        <w:rPr>
          <w:i/>
          <w:szCs w:val="22"/>
        </w:rPr>
        <w:t>ourced from Table A-1, 40 CFR 98</w:t>
      </w:r>
      <w:r w:rsidR="001B4961">
        <w:rPr>
          <w:i/>
          <w:szCs w:val="22"/>
        </w:rPr>
        <w:t>.</w:t>
      </w:r>
    </w:p>
    <w:p w:rsidR="007F0B09" w:rsidRPr="006C19BE" w:rsidRDefault="007F0B09" w:rsidP="00D3774C">
      <w:pPr>
        <w:widowControl w:val="0"/>
        <w:spacing w:after="120"/>
        <w:rPr>
          <w:i/>
          <w:sz w:val="22"/>
          <w:szCs w:val="22"/>
          <w:highlight w:val="yellow"/>
        </w:rPr>
      </w:pPr>
      <w:r w:rsidRPr="006C19BE">
        <w:rPr>
          <w:sz w:val="22"/>
          <w:szCs w:val="22"/>
          <w:u w:val="single"/>
        </w:rPr>
        <w:t>Selection of BACT and Rationale</w:t>
      </w:r>
    </w:p>
    <w:p w:rsidR="007F0B09" w:rsidRPr="001D55FC" w:rsidRDefault="00CE40BB" w:rsidP="007F0B09">
      <w:pPr>
        <w:widowControl w:val="0"/>
        <w:spacing w:after="120"/>
        <w:rPr>
          <w:sz w:val="22"/>
          <w:szCs w:val="22"/>
        </w:rPr>
      </w:pPr>
      <w:r w:rsidRPr="00CE40BB">
        <w:rPr>
          <w:sz w:val="22"/>
          <w:szCs w:val="22"/>
        </w:rPr>
        <w:t xml:space="preserve">The </w:t>
      </w:r>
      <w:r w:rsidR="00DE683E">
        <w:rPr>
          <w:sz w:val="22"/>
          <w:szCs w:val="22"/>
        </w:rPr>
        <w:t xml:space="preserve">Department accepts </w:t>
      </w:r>
      <w:r w:rsidRPr="00CE40BB">
        <w:rPr>
          <w:sz w:val="22"/>
          <w:szCs w:val="22"/>
        </w:rPr>
        <w:t>the use of modern enclosed circuit breakers with a le</w:t>
      </w:r>
      <w:r w:rsidR="00A747B6">
        <w:rPr>
          <w:sz w:val="22"/>
          <w:szCs w:val="22"/>
        </w:rPr>
        <w:t>akage rate of no more than 0.5%</w:t>
      </w:r>
      <w:r w:rsidR="00DE3D07">
        <w:rPr>
          <w:sz w:val="22"/>
          <w:szCs w:val="22"/>
        </w:rPr>
        <w:t xml:space="preserve"> as a draft BACT determination for GHG</w:t>
      </w:r>
      <w:r w:rsidR="00A747B6">
        <w:rPr>
          <w:sz w:val="22"/>
          <w:szCs w:val="22"/>
        </w:rPr>
        <w:t>.  Each circuit breaker shall be</w:t>
      </w:r>
      <w:r w:rsidRPr="00CE40BB">
        <w:rPr>
          <w:sz w:val="22"/>
          <w:szCs w:val="22"/>
        </w:rPr>
        <w:t xml:space="preserve"> thoroughly tested, equipped with leakage detection systems, and </w:t>
      </w:r>
      <w:r w:rsidR="00A747B6">
        <w:rPr>
          <w:sz w:val="22"/>
          <w:szCs w:val="22"/>
        </w:rPr>
        <w:t xml:space="preserve">inspected </w:t>
      </w:r>
      <w:r w:rsidR="00A747B6" w:rsidRPr="00CE40BB">
        <w:rPr>
          <w:sz w:val="22"/>
          <w:szCs w:val="22"/>
        </w:rPr>
        <w:t>periodic</w:t>
      </w:r>
      <w:r w:rsidR="00A747B6">
        <w:rPr>
          <w:sz w:val="22"/>
          <w:szCs w:val="22"/>
        </w:rPr>
        <w:t>ally</w:t>
      </w:r>
      <w:r w:rsidRPr="00CE40BB">
        <w:rPr>
          <w:sz w:val="22"/>
          <w:szCs w:val="22"/>
        </w:rPr>
        <w:t xml:space="preserve">.  The permittee </w:t>
      </w:r>
      <w:r w:rsidR="009C0AD5">
        <w:rPr>
          <w:sz w:val="22"/>
          <w:szCs w:val="22"/>
        </w:rPr>
        <w:t>shall also</w:t>
      </w:r>
      <w:r w:rsidRPr="00CE40BB">
        <w:rPr>
          <w:sz w:val="22"/>
          <w:szCs w:val="22"/>
        </w:rPr>
        <w:t xml:space="preserve"> monitor the circuit breakers remotely and continuously through the plant control system.  Preventive maintenance will be performed in accordance with manufacturer instructions, and the permittee will submit a circuit breaker monitoring plan to the Department after the equipment is selected and placed in service.</w:t>
      </w:r>
    </w:p>
    <w:p w:rsidR="003B2442" w:rsidRPr="009A4FA4" w:rsidRDefault="003B2442" w:rsidP="009A4FA4">
      <w:pPr>
        <w:pStyle w:val="ListParagraph"/>
        <w:widowControl w:val="0"/>
        <w:numPr>
          <w:ilvl w:val="1"/>
          <w:numId w:val="3"/>
        </w:numPr>
        <w:spacing w:after="120"/>
        <w:ind w:left="720" w:hanging="720"/>
        <w:contextualSpacing w:val="0"/>
        <w:rPr>
          <w:b/>
          <w:caps/>
          <w:sz w:val="22"/>
          <w:szCs w:val="22"/>
        </w:rPr>
      </w:pPr>
      <w:r w:rsidRPr="003B2442">
        <w:rPr>
          <w:b/>
          <w:sz w:val="22"/>
          <w:szCs w:val="22"/>
        </w:rPr>
        <w:t>On-Site Natural Gas Supply</w:t>
      </w:r>
    </w:p>
    <w:p w:rsidR="00594694" w:rsidRPr="00FD63F2" w:rsidRDefault="005D43C1" w:rsidP="00FD63F2">
      <w:pPr>
        <w:widowControl w:val="0"/>
        <w:spacing w:after="120"/>
        <w:rPr>
          <w:sz w:val="22"/>
          <w:szCs w:val="22"/>
        </w:rPr>
      </w:pPr>
      <w:r>
        <w:rPr>
          <w:sz w:val="22"/>
          <w:szCs w:val="22"/>
        </w:rPr>
        <w:t>As part of the BACT review for GHG, t</w:t>
      </w:r>
      <w:r w:rsidR="00296274">
        <w:rPr>
          <w:sz w:val="22"/>
          <w:szCs w:val="22"/>
        </w:rPr>
        <w:t xml:space="preserve">he Department is assessing </w:t>
      </w:r>
      <w:r w:rsidR="00017A5D">
        <w:rPr>
          <w:sz w:val="22"/>
          <w:szCs w:val="22"/>
        </w:rPr>
        <w:t>possible sources of n</w:t>
      </w:r>
      <w:r w:rsidR="00FD63F2" w:rsidRPr="00FD63F2">
        <w:rPr>
          <w:sz w:val="22"/>
          <w:szCs w:val="22"/>
        </w:rPr>
        <w:t>atural gas leaks from</w:t>
      </w:r>
      <w:r w:rsidR="00017A5D">
        <w:rPr>
          <w:sz w:val="22"/>
          <w:szCs w:val="22"/>
        </w:rPr>
        <w:t xml:space="preserve"> new </w:t>
      </w:r>
      <w:r w:rsidRPr="00804A73">
        <w:rPr>
          <w:sz w:val="22"/>
          <w:szCs w:val="22"/>
        </w:rPr>
        <w:t>natural gas-fired power plants (NGPPs)</w:t>
      </w:r>
      <w:r w:rsidR="00017A5D">
        <w:rPr>
          <w:sz w:val="22"/>
          <w:szCs w:val="22"/>
        </w:rPr>
        <w:t xml:space="preserve">. </w:t>
      </w:r>
      <w:r w:rsidR="00FD63F2" w:rsidRPr="00FD63F2">
        <w:rPr>
          <w:sz w:val="22"/>
          <w:szCs w:val="22"/>
        </w:rPr>
        <w:t xml:space="preserve"> </w:t>
      </w:r>
      <w:r w:rsidR="00017A5D">
        <w:rPr>
          <w:sz w:val="22"/>
          <w:szCs w:val="22"/>
        </w:rPr>
        <w:t>T</w:t>
      </w:r>
      <w:r w:rsidR="00FD63F2" w:rsidRPr="00FD63F2">
        <w:rPr>
          <w:sz w:val="22"/>
          <w:szCs w:val="22"/>
        </w:rPr>
        <w:t>he new on-site natural gas supply connections, venting during maintenance, and</w:t>
      </w:r>
      <w:r w:rsidR="00FD63F2">
        <w:rPr>
          <w:sz w:val="22"/>
          <w:szCs w:val="22"/>
        </w:rPr>
        <w:t xml:space="preserve"> </w:t>
      </w:r>
      <w:r w:rsidR="00FD63F2" w:rsidRPr="00FD63F2">
        <w:rPr>
          <w:sz w:val="22"/>
          <w:szCs w:val="22"/>
        </w:rPr>
        <w:t>venting during startup and shutdown represent a potential source of fugitive GHG emissions in the form of</w:t>
      </w:r>
      <w:r w:rsidR="00FD63F2">
        <w:rPr>
          <w:sz w:val="22"/>
          <w:szCs w:val="22"/>
        </w:rPr>
        <w:t xml:space="preserve"> </w:t>
      </w:r>
      <w:r w:rsidR="00FD63F2" w:rsidRPr="00FD63F2">
        <w:rPr>
          <w:sz w:val="22"/>
          <w:szCs w:val="22"/>
        </w:rPr>
        <w:t>methane contained in the natural gas.</w:t>
      </w:r>
    </w:p>
    <w:p w:rsidR="003B2442" w:rsidRPr="006C19BE" w:rsidRDefault="003B2442" w:rsidP="003B2442">
      <w:pPr>
        <w:widowControl w:val="0"/>
        <w:spacing w:after="120"/>
        <w:rPr>
          <w:sz w:val="22"/>
          <w:szCs w:val="22"/>
          <w:u w:val="single"/>
        </w:rPr>
      </w:pPr>
      <w:r w:rsidRPr="006C19BE">
        <w:rPr>
          <w:sz w:val="22"/>
          <w:szCs w:val="22"/>
          <w:u w:val="single"/>
        </w:rPr>
        <w:t>Identification of Control Technologies</w:t>
      </w:r>
    </w:p>
    <w:p w:rsidR="00956164" w:rsidRDefault="0009094B" w:rsidP="00660370">
      <w:pPr>
        <w:widowControl w:val="0"/>
        <w:spacing w:before="120" w:after="120"/>
        <w:rPr>
          <w:i/>
          <w:sz w:val="22"/>
          <w:szCs w:val="22"/>
        </w:rPr>
      </w:pPr>
      <w:r>
        <w:rPr>
          <w:i/>
          <w:sz w:val="22"/>
          <w:szCs w:val="22"/>
        </w:rPr>
        <w:t>Odor Detection</w:t>
      </w:r>
      <w:r w:rsidR="00660370" w:rsidRPr="00660370">
        <w:rPr>
          <w:sz w:val="22"/>
          <w:szCs w:val="22"/>
        </w:rPr>
        <w:t xml:space="preserve">.  </w:t>
      </w:r>
      <w:r w:rsidR="0037424C">
        <w:rPr>
          <w:sz w:val="22"/>
          <w:szCs w:val="22"/>
        </w:rPr>
        <w:t xml:space="preserve">Pursuant to 49 CFR </w:t>
      </w:r>
      <w:r w:rsidR="0037424C" w:rsidRPr="00660370">
        <w:rPr>
          <w:sz w:val="22"/>
          <w:szCs w:val="22"/>
        </w:rPr>
        <w:t>192.625</w:t>
      </w:r>
      <w:r w:rsidR="0037424C">
        <w:rPr>
          <w:sz w:val="22"/>
          <w:szCs w:val="22"/>
        </w:rPr>
        <w:t>(a), n</w:t>
      </w:r>
      <w:r w:rsidR="00660370" w:rsidRPr="00660370">
        <w:rPr>
          <w:sz w:val="22"/>
          <w:szCs w:val="22"/>
        </w:rPr>
        <w:t xml:space="preserve">atural gas is required to have an odorant that can be detected so that at a concentration in ambient air of one-fifth of the lower explosive limit, the gas is readily detectable by a person with a normal sense of smell. </w:t>
      </w:r>
      <w:r w:rsidR="00933CE7">
        <w:rPr>
          <w:sz w:val="22"/>
          <w:szCs w:val="22"/>
        </w:rPr>
        <w:t xml:space="preserve"> </w:t>
      </w:r>
      <w:r w:rsidR="00660370" w:rsidRPr="00660370">
        <w:rPr>
          <w:sz w:val="22"/>
          <w:szCs w:val="22"/>
        </w:rPr>
        <w:t xml:space="preserve">The lower explosive limit for methane, the main constituent in natural gas, is 5 percent by volume. </w:t>
      </w:r>
      <w:r w:rsidR="00933CE7">
        <w:rPr>
          <w:sz w:val="22"/>
          <w:szCs w:val="22"/>
        </w:rPr>
        <w:t xml:space="preserve"> </w:t>
      </w:r>
      <w:r w:rsidR="00660370" w:rsidRPr="00660370">
        <w:rPr>
          <w:sz w:val="22"/>
          <w:szCs w:val="22"/>
        </w:rPr>
        <w:t>The concentration of natural gas in a leak that is required to be detectable by smell meeting the odorant requirement is 10,000 ppm.</w:t>
      </w:r>
    </w:p>
    <w:p w:rsidR="00804A73" w:rsidRPr="00B34F7C" w:rsidRDefault="00804A73" w:rsidP="00804A73">
      <w:pPr>
        <w:widowControl w:val="0"/>
        <w:spacing w:before="120" w:after="120"/>
        <w:rPr>
          <w:sz w:val="22"/>
          <w:szCs w:val="22"/>
        </w:rPr>
      </w:pPr>
      <w:r w:rsidRPr="00804A73">
        <w:rPr>
          <w:i/>
          <w:sz w:val="22"/>
          <w:szCs w:val="22"/>
        </w:rPr>
        <w:t>CH</w:t>
      </w:r>
      <w:r w:rsidRPr="00804A73">
        <w:rPr>
          <w:i/>
          <w:sz w:val="22"/>
          <w:szCs w:val="22"/>
          <w:vertAlign w:val="subscript"/>
        </w:rPr>
        <w:t>4</w:t>
      </w:r>
      <w:r w:rsidRPr="00804A73">
        <w:rPr>
          <w:i/>
          <w:sz w:val="22"/>
          <w:szCs w:val="22"/>
        </w:rPr>
        <w:t xml:space="preserve"> Leak Detection &amp; Repair (LDAR)</w:t>
      </w:r>
      <w:r w:rsidRPr="00804A73">
        <w:rPr>
          <w:sz w:val="22"/>
          <w:szCs w:val="22"/>
        </w:rPr>
        <w:t>.  Detection and repair plans have been developed for CH</w:t>
      </w:r>
      <w:r w:rsidRPr="00804A73">
        <w:rPr>
          <w:sz w:val="22"/>
          <w:szCs w:val="22"/>
          <w:vertAlign w:val="subscript"/>
        </w:rPr>
        <w:t>4</w:t>
      </w:r>
      <w:r w:rsidRPr="00804A73">
        <w:rPr>
          <w:sz w:val="22"/>
          <w:szCs w:val="22"/>
        </w:rPr>
        <w:t xml:space="preserve"> leaks from oil refineries, natural gas pipelines, and landfills.  However, CH</w:t>
      </w:r>
      <w:r w:rsidRPr="00804A73">
        <w:rPr>
          <w:sz w:val="22"/>
          <w:szCs w:val="22"/>
          <w:vertAlign w:val="subscript"/>
        </w:rPr>
        <w:t>4</w:t>
      </w:r>
      <w:r w:rsidRPr="00804A73">
        <w:rPr>
          <w:sz w:val="22"/>
          <w:szCs w:val="22"/>
        </w:rPr>
        <w:t xml:space="preserve"> LDAR plans have not been utilized for power plants.  According to a recent study from Purdue University that was published in February of 2017, there is high uncertainty in estimates of CH</w:t>
      </w:r>
      <w:r w:rsidRPr="00804A73">
        <w:rPr>
          <w:sz w:val="22"/>
          <w:szCs w:val="22"/>
          <w:vertAlign w:val="subscript"/>
        </w:rPr>
        <w:t>4</w:t>
      </w:r>
      <w:r w:rsidRPr="00804A73">
        <w:rPr>
          <w:sz w:val="22"/>
          <w:szCs w:val="22"/>
        </w:rPr>
        <w:t xml:space="preserve"> emissions from NGPPs.  Average CH</w:t>
      </w:r>
      <w:r w:rsidRPr="00804A73">
        <w:rPr>
          <w:sz w:val="22"/>
          <w:szCs w:val="22"/>
          <w:vertAlign w:val="subscript"/>
        </w:rPr>
        <w:t>4</w:t>
      </w:r>
      <w:r w:rsidRPr="00804A73">
        <w:rPr>
          <w:sz w:val="22"/>
          <w:szCs w:val="22"/>
        </w:rPr>
        <w:t xml:space="preserve"> emission rates from NGPPs were evaluated to be 140 ± 70 kilograms per hour; which is larger than facility-reported estimates by factors of 21–120.  At NGPPs, the percentage of unburned CH</w:t>
      </w:r>
      <w:r w:rsidRPr="00804A73">
        <w:rPr>
          <w:sz w:val="22"/>
          <w:szCs w:val="22"/>
          <w:vertAlign w:val="subscript"/>
        </w:rPr>
        <w:t>4</w:t>
      </w:r>
      <w:r w:rsidRPr="00804A73">
        <w:rPr>
          <w:sz w:val="22"/>
          <w:szCs w:val="22"/>
        </w:rPr>
        <w:t xml:space="preserve"> emitted from stacks is on average around 0.01–0.14%, which was much lower than respective facility-scale losses of 0.10–0.42% from leaks.  Additionally, calculated throughput-based emission factors derived from the NGPP measurements made in this study were, on average, a factor of 4.4 (stacks) and 42 (facility-scale) larger than industry-used emission factors</w:t>
      </w:r>
      <w:r w:rsidRPr="00804A73">
        <w:rPr>
          <w:sz w:val="22"/>
          <w:szCs w:val="22"/>
          <w:vertAlign w:val="superscript"/>
        </w:rPr>
        <w:footnoteReference w:id="12"/>
      </w:r>
      <w:r w:rsidRPr="00804A73">
        <w:rPr>
          <w:sz w:val="22"/>
          <w:szCs w:val="22"/>
        </w:rPr>
        <w:t xml:space="preserve"> from the US EPA Greenhouse Gas Reporting Program.  The small number of studies of leak rates of methane from power plants leads to a large uncertainty in emission factors.</w:t>
      </w:r>
    </w:p>
    <w:p w:rsidR="003B2442" w:rsidRPr="006C19BE" w:rsidRDefault="003B2442" w:rsidP="003B2442">
      <w:pPr>
        <w:widowControl w:val="0"/>
        <w:spacing w:after="120"/>
        <w:rPr>
          <w:sz w:val="22"/>
          <w:szCs w:val="22"/>
          <w:u w:val="single"/>
        </w:rPr>
      </w:pPr>
      <w:r w:rsidRPr="006C19BE">
        <w:rPr>
          <w:sz w:val="22"/>
          <w:szCs w:val="22"/>
          <w:u w:val="single"/>
        </w:rPr>
        <w:t>Discussion of Technically Infeasible Control Options and Ranking of Remaining Options</w:t>
      </w:r>
    </w:p>
    <w:p w:rsidR="00DF494F" w:rsidRPr="00DF494F" w:rsidRDefault="00BE3F45" w:rsidP="00DF494F">
      <w:pPr>
        <w:widowControl w:val="0"/>
        <w:spacing w:after="120"/>
        <w:rPr>
          <w:sz w:val="22"/>
          <w:szCs w:val="22"/>
        </w:rPr>
      </w:pPr>
      <w:r>
        <w:rPr>
          <w:sz w:val="22"/>
          <w:szCs w:val="22"/>
        </w:rPr>
        <w:t>Unlike NGPPs, various chemical manufacturing facilities are required to complete a</w:t>
      </w:r>
      <w:r w:rsidR="00A649B2">
        <w:rPr>
          <w:sz w:val="22"/>
          <w:szCs w:val="22"/>
        </w:rPr>
        <w:t xml:space="preserve"> LDAR plan </w:t>
      </w:r>
      <w:r>
        <w:rPr>
          <w:sz w:val="22"/>
          <w:szCs w:val="22"/>
        </w:rPr>
        <w:t xml:space="preserve">due to an applicable NESHAP or NSPS requirement.  The pertinent </w:t>
      </w:r>
      <w:r w:rsidR="00DF494F" w:rsidRPr="00DF494F">
        <w:rPr>
          <w:sz w:val="22"/>
          <w:szCs w:val="22"/>
        </w:rPr>
        <w:t>LDAR program</w:t>
      </w:r>
      <w:r>
        <w:rPr>
          <w:sz w:val="22"/>
          <w:szCs w:val="22"/>
        </w:rPr>
        <w:t>s</w:t>
      </w:r>
      <w:r w:rsidR="00DF494F" w:rsidRPr="00DF494F">
        <w:rPr>
          <w:sz w:val="22"/>
          <w:szCs w:val="22"/>
        </w:rPr>
        <w:t xml:space="preserve"> u</w:t>
      </w:r>
      <w:r>
        <w:rPr>
          <w:sz w:val="22"/>
          <w:szCs w:val="22"/>
        </w:rPr>
        <w:t>tilize</w:t>
      </w:r>
      <w:r w:rsidR="00DF494F" w:rsidRPr="00DF494F">
        <w:rPr>
          <w:sz w:val="22"/>
          <w:szCs w:val="22"/>
        </w:rPr>
        <w:t xml:space="preserve"> EPA Method 21 </w:t>
      </w:r>
      <w:r>
        <w:rPr>
          <w:sz w:val="22"/>
          <w:szCs w:val="22"/>
        </w:rPr>
        <w:t>to</w:t>
      </w:r>
      <w:r w:rsidR="00DF494F" w:rsidRPr="00DF494F">
        <w:rPr>
          <w:sz w:val="22"/>
          <w:szCs w:val="22"/>
        </w:rPr>
        <w:t xml:space="preserve"> measure the </w:t>
      </w:r>
      <w:r w:rsidRPr="00DF494F">
        <w:rPr>
          <w:sz w:val="22"/>
          <w:szCs w:val="22"/>
        </w:rPr>
        <w:t xml:space="preserve">concentration </w:t>
      </w:r>
      <w:r>
        <w:rPr>
          <w:sz w:val="22"/>
          <w:szCs w:val="22"/>
        </w:rPr>
        <w:t xml:space="preserve">of </w:t>
      </w:r>
      <w:r w:rsidR="00DF494F" w:rsidRPr="00DF494F">
        <w:rPr>
          <w:sz w:val="22"/>
          <w:szCs w:val="22"/>
        </w:rPr>
        <w:t>VOC</w:t>
      </w:r>
      <w:r w:rsidR="00DF494F">
        <w:rPr>
          <w:sz w:val="22"/>
          <w:szCs w:val="22"/>
        </w:rPr>
        <w:t xml:space="preserve"> </w:t>
      </w:r>
      <w:r w:rsidR="00DF494F" w:rsidRPr="00DF494F">
        <w:rPr>
          <w:sz w:val="22"/>
          <w:szCs w:val="22"/>
        </w:rPr>
        <w:t xml:space="preserve">at </w:t>
      </w:r>
      <w:r>
        <w:rPr>
          <w:sz w:val="22"/>
          <w:szCs w:val="22"/>
        </w:rPr>
        <w:t>a connector or valve</w:t>
      </w:r>
      <w:r w:rsidR="00DF494F" w:rsidRPr="00DF494F">
        <w:rPr>
          <w:sz w:val="22"/>
          <w:szCs w:val="22"/>
        </w:rPr>
        <w:t xml:space="preserve"> to determine if the “leak detection concentration” is exceeded </w:t>
      </w:r>
      <w:r w:rsidR="00D927CA">
        <w:rPr>
          <w:sz w:val="22"/>
          <w:szCs w:val="22"/>
        </w:rPr>
        <w:t>to</w:t>
      </w:r>
      <w:r w:rsidR="000C140B">
        <w:rPr>
          <w:sz w:val="22"/>
          <w:szCs w:val="22"/>
        </w:rPr>
        <w:t xml:space="preserve"> warrant a repair</w:t>
      </w:r>
      <w:r w:rsidR="00DF494F" w:rsidRPr="00DF494F">
        <w:rPr>
          <w:sz w:val="22"/>
          <w:szCs w:val="22"/>
        </w:rPr>
        <w:t>.</w:t>
      </w:r>
      <w:r w:rsidR="000C140B">
        <w:rPr>
          <w:sz w:val="22"/>
          <w:szCs w:val="22"/>
        </w:rPr>
        <w:t xml:space="preserve"> </w:t>
      </w:r>
      <w:r w:rsidR="00DF494F" w:rsidRPr="00DF494F">
        <w:rPr>
          <w:sz w:val="22"/>
          <w:szCs w:val="22"/>
        </w:rPr>
        <w:t xml:space="preserve"> </w:t>
      </w:r>
      <w:r w:rsidR="004A73AB">
        <w:rPr>
          <w:sz w:val="22"/>
          <w:szCs w:val="22"/>
        </w:rPr>
        <w:t xml:space="preserve">The </w:t>
      </w:r>
      <w:r w:rsidR="00DF494F" w:rsidRPr="00DF494F">
        <w:rPr>
          <w:sz w:val="22"/>
          <w:szCs w:val="22"/>
        </w:rPr>
        <w:t xml:space="preserve">LDAR </w:t>
      </w:r>
      <w:r w:rsidR="004A73AB">
        <w:rPr>
          <w:sz w:val="22"/>
          <w:szCs w:val="22"/>
        </w:rPr>
        <w:t>plans outlined in the NSPS provisions</w:t>
      </w:r>
      <w:r w:rsidR="00DF494F" w:rsidRPr="00DF494F">
        <w:rPr>
          <w:sz w:val="22"/>
          <w:szCs w:val="22"/>
        </w:rPr>
        <w:t xml:space="preserve"> include </w:t>
      </w:r>
      <w:r w:rsidR="004A73AB">
        <w:rPr>
          <w:sz w:val="22"/>
          <w:szCs w:val="22"/>
        </w:rPr>
        <w:t>a</w:t>
      </w:r>
      <w:r w:rsidR="00DF494F" w:rsidRPr="00DF494F">
        <w:rPr>
          <w:sz w:val="22"/>
          <w:szCs w:val="22"/>
        </w:rPr>
        <w:t xml:space="preserve"> leak detection concentration of 10,000 ppm when</w:t>
      </w:r>
      <w:r w:rsidR="00DF494F">
        <w:rPr>
          <w:sz w:val="22"/>
          <w:szCs w:val="22"/>
        </w:rPr>
        <w:t xml:space="preserve"> </w:t>
      </w:r>
      <w:r w:rsidR="00DF494F" w:rsidRPr="00DF494F">
        <w:rPr>
          <w:sz w:val="22"/>
          <w:szCs w:val="22"/>
        </w:rPr>
        <w:t>measuring leaks</w:t>
      </w:r>
      <w:r w:rsidR="004A73AB">
        <w:rPr>
          <w:sz w:val="22"/>
          <w:szCs w:val="22"/>
        </w:rPr>
        <w:t>, which</w:t>
      </w:r>
      <w:r w:rsidR="00DF494F" w:rsidRPr="00DF494F">
        <w:rPr>
          <w:sz w:val="22"/>
          <w:szCs w:val="22"/>
        </w:rPr>
        <w:t xml:space="preserve"> is the same concentration that an odorant can be detected. </w:t>
      </w:r>
      <w:r w:rsidR="00DF494F">
        <w:rPr>
          <w:sz w:val="22"/>
          <w:szCs w:val="22"/>
        </w:rPr>
        <w:t xml:space="preserve"> </w:t>
      </w:r>
      <w:r w:rsidR="00DF494F" w:rsidRPr="00DF494F">
        <w:rPr>
          <w:sz w:val="22"/>
          <w:szCs w:val="22"/>
        </w:rPr>
        <w:t xml:space="preserve">The </w:t>
      </w:r>
      <w:r w:rsidR="00640FC1">
        <w:rPr>
          <w:sz w:val="22"/>
          <w:szCs w:val="22"/>
        </w:rPr>
        <w:t xml:space="preserve">applicant evaluated an </w:t>
      </w:r>
      <w:r w:rsidR="00DF494F" w:rsidRPr="00DF494F">
        <w:rPr>
          <w:sz w:val="22"/>
          <w:szCs w:val="22"/>
        </w:rPr>
        <w:t>average number of</w:t>
      </w:r>
      <w:r w:rsidR="00DF494F">
        <w:rPr>
          <w:sz w:val="22"/>
          <w:szCs w:val="22"/>
        </w:rPr>
        <w:t xml:space="preserve"> </w:t>
      </w:r>
      <w:r w:rsidR="00DF494F" w:rsidRPr="00DF494F">
        <w:rPr>
          <w:sz w:val="22"/>
          <w:szCs w:val="22"/>
        </w:rPr>
        <w:t>valves and connectors in the</w:t>
      </w:r>
      <w:r w:rsidR="00D17690">
        <w:rPr>
          <w:sz w:val="22"/>
          <w:szCs w:val="22"/>
        </w:rPr>
        <w:t xml:space="preserve"> chemical manufacturing sites</w:t>
      </w:r>
      <w:r w:rsidR="00DF494F" w:rsidRPr="00DF494F">
        <w:rPr>
          <w:sz w:val="22"/>
          <w:szCs w:val="22"/>
        </w:rPr>
        <w:t xml:space="preserve"> </w:t>
      </w:r>
      <w:r w:rsidR="00965A33">
        <w:rPr>
          <w:sz w:val="22"/>
          <w:szCs w:val="22"/>
        </w:rPr>
        <w:t>to be</w:t>
      </w:r>
      <w:r w:rsidR="00DF494F" w:rsidRPr="00DF494F">
        <w:rPr>
          <w:sz w:val="22"/>
          <w:szCs w:val="22"/>
        </w:rPr>
        <w:t xml:space="preserve"> well over 10,000</w:t>
      </w:r>
      <w:r w:rsidR="00640FC1">
        <w:rPr>
          <w:sz w:val="22"/>
          <w:szCs w:val="22"/>
        </w:rPr>
        <w:t xml:space="preserve">, </w:t>
      </w:r>
      <w:r w:rsidR="00965A33">
        <w:rPr>
          <w:sz w:val="22"/>
          <w:szCs w:val="22"/>
        </w:rPr>
        <w:t>in comparison</w:t>
      </w:r>
      <w:r w:rsidR="00DF494F" w:rsidRPr="00DF494F">
        <w:rPr>
          <w:sz w:val="22"/>
          <w:szCs w:val="22"/>
        </w:rPr>
        <w:t xml:space="preserve"> to an estimated</w:t>
      </w:r>
      <w:r w:rsidR="00DF494F">
        <w:rPr>
          <w:sz w:val="22"/>
          <w:szCs w:val="22"/>
        </w:rPr>
        <w:t xml:space="preserve"> </w:t>
      </w:r>
      <w:r w:rsidR="00DF494F" w:rsidRPr="00DF494F">
        <w:rPr>
          <w:sz w:val="22"/>
          <w:szCs w:val="22"/>
        </w:rPr>
        <w:t xml:space="preserve">230 valves and connectors for the Project. </w:t>
      </w:r>
      <w:r w:rsidR="004A73AB">
        <w:rPr>
          <w:sz w:val="22"/>
          <w:szCs w:val="22"/>
        </w:rPr>
        <w:t xml:space="preserve"> </w:t>
      </w:r>
      <w:r w:rsidR="00DF494F" w:rsidRPr="00DF494F">
        <w:rPr>
          <w:sz w:val="22"/>
          <w:szCs w:val="22"/>
        </w:rPr>
        <w:t xml:space="preserve">EPA has indicated that </w:t>
      </w:r>
      <w:r w:rsidR="00655321">
        <w:rPr>
          <w:sz w:val="22"/>
          <w:szCs w:val="22"/>
        </w:rPr>
        <w:t xml:space="preserve">a </w:t>
      </w:r>
      <w:r w:rsidR="00DF494F" w:rsidRPr="00DF494F">
        <w:rPr>
          <w:sz w:val="22"/>
          <w:szCs w:val="22"/>
        </w:rPr>
        <w:t>quarterly monitoring program would</w:t>
      </w:r>
      <w:r w:rsidR="00DF494F">
        <w:rPr>
          <w:sz w:val="22"/>
          <w:szCs w:val="22"/>
        </w:rPr>
        <w:t xml:space="preserve"> </w:t>
      </w:r>
      <w:r w:rsidR="00DF494F" w:rsidRPr="00DF494F">
        <w:rPr>
          <w:sz w:val="22"/>
          <w:szCs w:val="22"/>
        </w:rPr>
        <w:t>result in</w:t>
      </w:r>
      <w:r w:rsidR="00655321">
        <w:rPr>
          <w:sz w:val="22"/>
          <w:szCs w:val="22"/>
        </w:rPr>
        <w:t xml:space="preserve"> </w:t>
      </w:r>
      <w:r w:rsidR="007716A0">
        <w:rPr>
          <w:sz w:val="22"/>
          <w:szCs w:val="22"/>
        </w:rPr>
        <w:t xml:space="preserve">a control efficiency of </w:t>
      </w:r>
      <w:r w:rsidR="00655321">
        <w:rPr>
          <w:sz w:val="22"/>
          <w:szCs w:val="22"/>
        </w:rPr>
        <w:t>approximately</w:t>
      </w:r>
      <w:r w:rsidR="00DF494F" w:rsidRPr="00DF494F">
        <w:rPr>
          <w:sz w:val="22"/>
          <w:szCs w:val="22"/>
        </w:rPr>
        <w:t xml:space="preserve"> 67</w:t>
      </w:r>
      <w:r w:rsidR="00655321">
        <w:rPr>
          <w:sz w:val="22"/>
          <w:szCs w:val="22"/>
        </w:rPr>
        <w:t>%</w:t>
      </w:r>
      <w:r w:rsidR="00402C36">
        <w:rPr>
          <w:rStyle w:val="FootnoteReference"/>
          <w:sz w:val="22"/>
          <w:szCs w:val="22"/>
        </w:rPr>
        <w:footnoteReference w:id="13"/>
      </w:r>
      <w:r w:rsidR="00DF494F" w:rsidRPr="00DF494F">
        <w:rPr>
          <w:sz w:val="22"/>
          <w:szCs w:val="22"/>
        </w:rPr>
        <w:t>.</w:t>
      </w:r>
      <w:r w:rsidR="00DF494F">
        <w:rPr>
          <w:sz w:val="22"/>
          <w:szCs w:val="22"/>
        </w:rPr>
        <w:t xml:space="preserve">  </w:t>
      </w:r>
      <w:r w:rsidR="00655321">
        <w:rPr>
          <w:sz w:val="22"/>
          <w:szCs w:val="22"/>
        </w:rPr>
        <w:t>Therefore, b</w:t>
      </w:r>
      <w:r w:rsidR="00402C36">
        <w:rPr>
          <w:sz w:val="22"/>
          <w:szCs w:val="22"/>
        </w:rPr>
        <w:t>y a</w:t>
      </w:r>
      <w:r w:rsidR="00655321">
        <w:rPr>
          <w:sz w:val="22"/>
          <w:szCs w:val="22"/>
        </w:rPr>
        <w:t>ssuming 67%</w:t>
      </w:r>
      <w:r w:rsidR="00DF494F" w:rsidRPr="00DF494F">
        <w:rPr>
          <w:sz w:val="22"/>
          <w:szCs w:val="22"/>
        </w:rPr>
        <w:t xml:space="preserve"> </w:t>
      </w:r>
      <w:r w:rsidR="007716A0">
        <w:rPr>
          <w:sz w:val="22"/>
          <w:szCs w:val="22"/>
        </w:rPr>
        <w:t xml:space="preserve">control efficiency </w:t>
      </w:r>
      <w:r w:rsidR="00655321">
        <w:rPr>
          <w:sz w:val="22"/>
          <w:szCs w:val="22"/>
        </w:rPr>
        <w:t>and</w:t>
      </w:r>
      <w:r w:rsidR="00655321" w:rsidRPr="00655321">
        <w:t xml:space="preserve"> </w:t>
      </w:r>
      <w:r w:rsidR="00655321" w:rsidRPr="00655321">
        <w:rPr>
          <w:sz w:val="22"/>
          <w:szCs w:val="22"/>
        </w:rPr>
        <w:t>u</w:t>
      </w:r>
      <w:r w:rsidR="00655321">
        <w:rPr>
          <w:sz w:val="22"/>
          <w:szCs w:val="22"/>
        </w:rPr>
        <w:t>tilizing</w:t>
      </w:r>
      <w:r w:rsidR="00655321" w:rsidRPr="00655321">
        <w:rPr>
          <w:sz w:val="22"/>
          <w:szCs w:val="22"/>
        </w:rPr>
        <w:t xml:space="preserve"> </w:t>
      </w:r>
      <w:r w:rsidR="00655321">
        <w:rPr>
          <w:sz w:val="22"/>
          <w:szCs w:val="22"/>
        </w:rPr>
        <w:t xml:space="preserve">the emission factors contained in </w:t>
      </w:r>
      <w:bookmarkStart w:id="73" w:name="_Hlk511639554"/>
      <w:r w:rsidR="00655321" w:rsidRPr="00655321">
        <w:rPr>
          <w:sz w:val="22"/>
          <w:szCs w:val="22"/>
        </w:rPr>
        <w:t>40 CFR Part 98, Subpart W</w:t>
      </w:r>
      <w:bookmarkEnd w:id="73"/>
      <w:r w:rsidR="00DF494F" w:rsidRPr="00DF494F">
        <w:rPr>
          <w:sz w:val="22"/>
          <w:szCs w:val="22"/>
        </w:rPr>
        <w:t xml:space="preserve">, </w:t>
      </w:r>
      <w:r w:rsidR="00402C36">
        <w:rPr>
          <w:sz w:val="22"/>
          <w:szCs w:val="22"/>
        </w:rPr>
        <w:t xml:space="preserve">the applicant evaluated that implementing a </w:t>
      </w:r>
      <w:r w:rsidR="00DF494F" w:rsidRPr="00DF494F">
        <w:rPr>
          <w:sz w:val="22"/>
          <w:szCs w:val="22"/>
        </w:rPr>
        <w:t xml:space="preserve">LDAR </w:t>
      </w:r>
      <w:r w:rsidR="00402C36">
        <w:rPr>
          <w:sz w:val="22"/>
          <w:szCs w:val="22"/>
        </w:rPr>
        <w:t>plan would</w:t>
      </w:r>
      <w:r w:rsidR="00DF494F" w:rsidRPr="00DF494F">
        <w:rPr>
          <w:sz w:val="22"/>
          <w:szCs w:val="22"/>
        </w:rPr>
        <w:t xml:space="preserve"> only result in a decrease of about</w:t>
      </w:r>
      <w:r w:rsidR="00DF494F">
        <w:rPr>
          <w:sz w:val="22"/>
          <w:szCs w:val="22"/>
        </w:rPr>
        <w:t xml:space="preserve"> </w:t>
      </w:r>
      <w:r w:rsidR="00DF494F" w:rsidRPr="00DF494F">
        <w:rPr>
          <w:sz w:val="22"/>
          <w:szCs w:val="22"/>
        </w:rPr>
        <w:t>16 TPY of CO</w:t>
      </w:r>
      <w:r w:rsidR="00DF494F" w:rsidRPr="00D17690">
        <w:rPr>
          <w:sz w:val="22"/>
          <w:szCs w:val="22"/>
          <w:vertAlign w:val="subscript"/>
        </w:rPr>
        <w:t>2</w:t>
      </w:r>
      <w:r w:rsidR="00DF494F" w:rsidRPr="00DF494F">
        <w:rPr>
          <w:sz w:val="22"/>
          <w:szCs w:val="22"/>
        </w:rPr>
        <w:t>e</w:t>
      </w:r>
      <w:r w:rsidR="00402C36">
        <w:rPr>
          <w:sz w:val="22"/>
          <w:szCs w:val="22"/>
        </w:rPr>
        <w:t>.</w:t>
      </w:r>
    </w:p>
    <w:p w:rsidR="003B2442" w:rsidRDefault="003B2442" w:rsidP="003B2442">
      <w:pPr>
        <w:widowControl w:val="0"/>
        <w:spacing w:after="120"/>
        <w:rPr>
          <w:sz w:val="22"/>
          <w:szCs w:val="22"/>
          <w:u w:val="single"/>
        </w:rPr>
      </w:pPr>
      <w:r w:rsidRPr="00297927">
        <w:rPr>
          <w:sz w:val="22"/>
          <w:szCs w:val="22"/>
          <w:u w:val="single"/>
        </w:rPr>
        <w:t>Evaluation of Economic, Environmental, and Energy Impacts of Feasible Technologies</w:t>
      </w:r>
    </w:p>
    <w:p w:rsidR="009708B1" w:rsidRPr="009708B1" w:rsidRDefault="00C62821" w:rsidP="000158B4">
      <w:pPr>
        <w:widowControl w:val="0"/>
        <w:spacing w:after="120"/>
        <w:rPr>
          <w:sz w:val="22"/>
          <w:szCs w:val="22"/>
        </w:rPr>
      </w:pPr>
      <w:r>
        <w:rPr>
          <w:sz w:val="22"/>
          <w:szCs w:val="22"/>
        </w:rPr>
        <w:t>SHEC has selected a</w:t>
      </w:r>
      <w:r w:rsidR="000158B4" w:rsidRPr="000158B4">
        <w:rPr>
          <w:sz w:val="22"/>
          <w:szCs w:val="22"/>
        </w:rPr>
        <w:t xml:space="preserve"> best management practices program involving either LDAR or </w:t>
      </w:r>
      <w:r w:rsidRPr="000158B4">
        <w:rPr>
          <w:sz w:val="22"/>
          <w:szCs w:val="22"/>
        </w:rPr>
        <w:t>odorant detection procedure</w:t>
      </w:r>
      <w:r w:rsidR="0067358C">
        <w:rPr>
          <w:sz w:val="22"/>
          <w:szCs w:val="22"/>
        </w:rPr>
        <w:t>s</w:t>
      </w:r>
      <w:r w:rsidRPr="000158B4">
        <w:rPr>
          <w:sz w:val="22"/>
          <w:szCs w:val="22"/>
        </w:rPr>
        <w:t xml:space="preserve"> as feasible control technologies</w:t>
      </w:r>
      <w:r w:rsidR="000158B4" w:rsidRPr="000158B4">
        <w:rPr>
          <w:sz w:val="22"/>
          <w:szCs w:val="22"/>
        </w:rPr>
        <w:t xml:space="preserve">. </w:t>
      </w:r>
      <w:r w:rsidR="007716A0">
        <w:rPr>
          <w:sz w:val="22"/>
          <w:szCs w:val="22"/>
        </w:rPr>
        <w:t xml:space="preserve"> </w:t>
      </w:r>
      <w:r w:rsidR="009708B1" w:rsidRPr="009708B1">
        <w:rPr>
          <w:sz w:val="22"/>
          <w:szCs w:val="22"/>
        </w:rPr>
        <w:t>Since plant personnel routinely monitor plant operations through maintenance inspections</w:t>
      </w:r>
      <w:r w:rsidR="00761932">
        <w:rPr>
          <w:sz w:val="22"/>
          <w:szCs w:val="22"/>
        </w:rPr>
        <w:t>,</w:t>
      </w:r>
      <w:r w:rsidR="009708B1" w:rsidRPr="009708B1">
        <w:rPr>
          <w:sz w:val="22"/>
          <w:szCs w:val="22"/>
        </w:rPr>
        <w:t xml:space="preserve"> the observation</w:t>
      </w:r>
      <w:r w:rsidR="009708B1">
        <w:rPr>
          <w:sz w:val="22"/>
          <w:szCs w:val="22"/>
        </w:rPr>
        <w:t xml:space="preserve"> </w:t>
      </w:r>
      <w:r w:rsidR="009708B1" w:rsidRPr="009708B1">
        <w:rPr>
          <w:sz w:val="22"/>
          <w:szCs w:val="22"/>
        </w:rPr>
        <w:t>of natural gas odorants would not require any additional cost.</w:t>
      </w:r>
      <w:r w:rsidR="004C157E">
        <w:rPr>
          <w:sz w:val="22"/>
          <w:szCs w:val="22"/>
        </w:rPr>
        <w:t xml:space="preserve"> </w:t>
      </w:r>
      <w:r w:rsidR="009708B1" w:rsidRPr="009708B1">
        <w:rPr>
          <w:sz w:val="22"/>
          <w:szCs w:val="22"/>
        </w:rPr>
        <w:t xml:space="preserve"> While odorants are highly effective in the</w:t>
      </w:r>
      <w:r w:rsidR="009708B1">
        <w:rPr>
          <w:sz w:val="22"/>
          <w:szCs w:val="22"/>
        </w:rPr>
        <w:t xml:space="preserve"> </w:t>
      </w:r>
      <w:r w:rsidR="009708B1" w:rsidRPr="009708B1">
        <w:rPr>
          <w:sz w:val="22"/>
          <w:szCs w:val="22"/>
        </w:rPr>
        <w:t>observation of leaks, it is unknown what the actual control effectiveness may be.</w:t>
      </w:r>
    </w:p>
    <w:p w:rsidR="009708B1" w:rsidRPr="00296274" w:rsidRDefault="009708B1" w:rsidP="009708B1">
      <w:pPr>
        <w:widowControl w:val="0"/>
        <w:spacing w:after="120"/>
        <w:rPr>
          <w:sz w:val="22"/>
          <w:szCs w:val="22"/>
        </w:rPr>
      </w:pPr>
      <w:r w:rsidRPr="009708B1">
        <w:rPr>
          <w:sz w:val="22"/>
          <w:szCs w:val="22"/>
        </w:rPr>
        <w:t>The implementation of a LDAR program would require either plant personnel or a contractor using</w:t>
      </w:r>
      <w:r>
        <w:rPr>
          <w:sz w:val="22"/>
          <w:szCs w:val="22"/>
        </w:rPr>
        <w:t xml:space="preserve"> </w:t>
      </w:r>
      <w:r w:rsidRPr="009708B1">
        <w:rPr>
          <w:sz w:val="22"/>
          <w:szCs w:val="22"/>
        </w:rPr>
        <w:t xml:space="preserve">calibrated instrumentation or a soap solution. </w:t>
      </w:r>
      <w:r w:rsidR="00DC6BB3">
        <w:rPr>
          <w:sz w:val="22"/>
          <w:szCs w:val="22"/>
        </w:rPr>
        <w:t xml:space="preserve"> </w:t>
      </w:r>
      <w:r w:rsidR="008221EC">
        <w:rPr>
          <w:sz w:val="22"/>
          <w:szCs w:val="22"/>
        </w:rPr>
        <w:t xml:space="preserve">The applicant has deemed a </w:t>
      </w:r>
      <w:r w:rsidRPr="009708B1">
        <w:rPr>
          <w:sz w:val="22"/>
          <w:szCs w:val="22"/>
        </w:rPr>
        <w:t>LDAR</w:t>
      </w:r>
      <w:r w:rsidR="008221EC">
        <w:rPr>
          <w:sz w:val="22"/>
          <w:szCs w:val="22"/>
        </w:rPr>
        <w:t xml:space="preserve"> plan to be</w:t>
      </w:r>
      <w:r w:rsidRPr="009708B1">
        <w:rPr>
          <w:sz w:val="22"/>
          <w:szCs w:val="22"/>
        </w:rPr>
        <w:t xml:space="preserve"> time consuming as the detection would occur at the</w:t>
      </w:r>
      <w:r>
        <w:rPr>
          <w:sz w:val="22"/>
          <w:szCs w:val="22"/>
        </w:rPr>
        <w:t xml:space="preserve"> </w:t>
      </w:r>
      <w:r w:rsidRPr="009708B1">
        <w:rPr>
          <w:sz w:val="22"/>
          <w:szCs w:val="22"/>
        </w:rPr>
        <w:t>connector/valve where a leak may occur and there are an estimated 230 valves and connectors for the</w:t>
      </w:r>
      <w:r>
        <w:rPr>
          <w:sz w:val="22"/>
          <w:szCs w:val="22"/>
        </w:rPr>
        <w:t xml:space="preserve"> </w:t>
      </w:r>
      <w:r w:rsidRPr="009708B1">
        <w:rPr>
          <w:sz w:val="22"/>
          <w:szCs w:val="22"/>
        </w:rPr>
        <w:t xml:space="preserve">Project. </w:t>
      </w:r>
      <w:r w:rsidR="00A1749F">
        <w:rPr>
          <w:sz w:val="22"/>
          <w:szCs w:val="22"/>
        </w:rPr>
        <w:t xml:space="preserve"> The applicant has noted that a c</w:t>
      </w:r>
      <w:r w:rsidRPr="009708B1">
        <w:rPr>
          <w:sz w:val="22"/>
          <w:szCs w:val="22"/>
        </w:rPr>
        <w:t>onsiderable amount of</w:t>
      </w:r>
      <w:r w:rsidR="00A1749F">
        <w:rPr>
          <w:sz w:val="22"/>
          <w:szCs w:val="22"/>
        </w:rPr>
        <w:t xml:space="preserve"> documentation is required and an estimated</w:t>
      </w:r>
      <w:r w:rsidRPr="009708B1">
        <w:rPr>
          <w:sz w:val="22"/>
          <w:szCs w:val="22"/>
        </w:rPr>
        <w:t xml:space="preserve"> cost for a quarterly LDAR program</w:t>
      </w:r>
      <w:r>
        <w:rPr>
          <w:sz w:val="22"/>
          <w:szCs w:val="22"/>
        </w:rPr>
        <w:t xml:space="preserve"> </w:t>
      </w:r>
      <w:r w:rsidR="00A1749F">
        <w:rPr>
          <w:sz w:val="22"/>
          <w:szCs w:val="22"/>
        </w:rPr>
        <w:t>is approximated</w:t>
      </w:r>
      <w:r w:rsidRPr="009708B1">
        <w:rPr>
          <w:sz w:val="22"/>
          <w:szCs w:val="22"/>
        </w:rPr>
        <w:t xml:space="preserve"> to exceed $30,000 per year. </w:t>
      </w:r>
      <w:r w:rsidR="00DC6BB3">
        <w:rPr>
          <w:sz w:val="22"/>
          <w:szCs w:val="22"/>
        </w:rPr>
        <w:t xml:space="preserve"> </w:t>
      </w:r>
      <w:r w:rsidR="00C3503F">
        <w:rPr>
          <w:sz w:val="22"/>
          <w:szCs w:val="22"/>
        </w:rPr>
        <w:t>By including</w:t>
      </w:r>
      <w:r w:rsidR="00547EF1">
        <w:rPr>
          <w:sz w:val="22"/>
          <w:szCs w:val="22"/>
        </w:rPr>
        <w:t xml:space="preserve"> the </w:t>
      </w:r>
      <w:r w:rsidR="00C3503F">
        <w:rPr>
          <w:sz w:val="22"/>
          <w:szCs w:val="22"/>
        </w:rPr>
        <w:t xml:space="preserve">allowance </w:t>
      </w:r>
      <w:r w:rsidR="00547EF1">
        <w:rPr>
          <w:sz w:val="22"/>
          <w:szCs w:val="22"/>
        </w:rPr>
        <w:t xml:space="preserve">cost </w:t>
      </w:r>
      <w:r w:rsidR="00C3503F">
        <w:rPr>
          <w:sz w:val="22"/>
          <w:szCs w:val="22"/>
        </w:rPr>
        <w:t>of</w:t>
      </w:r>
      <w:r w:rsidR="00547EF1">
        <w:rPr>
          <w:sz w:val="22"/>
          <w:szCs w:val="22"/>
        </w:rPr>
        <w:t xml:space="preserve"> the </w:t>
      </w:r>
      <w:r w:rsidR="00C3503F">
        <w:rPr>
          <w:sz w:val="22"/>
          <w:szCs w:val="22"/>
        </w:rPr>
        <w:t xml:space="preserve">current </w:t>
      </w:r>
      <w:r w:rsidR="00023573">
        <w:rPr>
          <w:sz w:val="22"/>
          <w:szCs w:val="22"/>
        </w:rPr>
        <w:t>European Union price for CO</w:t>
      </w:r>
      <w:r w:rsidR="00023573" w:rsidRPr="00C3503F">
        <w:rPr>
          <w:sz w:val="22"/>
          <w:szCs w:val="22"/>
          <w:vertAlign w:val="subscript"/>
        </w:rPr>
        <w:t>2</w:t>
      </w:r>
      <w:r w:rsidR="00023573">
        <w:rPr>
          <w:sz w:val="22"/>
          <w:szCs w:val="22"/>
        </w:rPr>
        <w:t xml:space="preserve"> </w:t>
      </w:r>
      <w:r w:rsidR="00C3503F">
        <w:rPr>
          <w:sz w:val="22"/>
          <w:szCs w:val="22"/>
        </w:rPr>
        <w:t>as</w:t>
      </w:r>
      <w:r w:rsidR="00023573">
        <w:rPr>
          <w:sz w:val="22"/>
          <w:szCs w:val="22"/>
        </w:rPr>
        <w:t xml:space="preserve"> </w:t>
      </w:r>
      <w:r w:rsidR="00023573" w:rsidRPr="009708B1">
        <w:rPr>
          <w:sz w:val="22"/>
          <w:szCs w:val="22"/>
        </w:rPr>
        <w:t>$14 per ton</w:t>
      </w:r>
      <w:r w:rsidR="00023573">
        <w:rPr>
          <w:sz w:val="22"/>
          <w:szCs w:val="22"/>
        </w:rPr>
        <w:t>,</w:t>
      </w:r>
      <w:r w:rsidR="00023573" w:rsidRPr="009708B1">
        <w:rPr>
          <w:sz w:val="22"/>
          <w:szCs w:val="22"/>
        </w:rPr>
        <w:t xml:space="preserve"> </w:t>
      </w:r>
      <w:r w:rsidR="00023573">
        <w:rPr>
          <w:sz w:val="22"/>
          <w:szCs w:val="22"/>
        </w:rPr>
        <w:t>t</w:t>
      </w:r>
      <w:r w:rsidRPr="009708B1">
        <w:rPr>
          <w:sz w:val="22"/>
          <w:szCs w:val="22"/>
        </w:rPr>
        <w:t xml:space="preserve">he </w:t>
      </w:r>
      <w:r w:rsidR="00C3503F">
        <w:rPr>
          <w:sz w:val="22"/>
          <w:szCs w:val="22"/>
        </w:rPr>
        <w:t xml:space="preserve">applicant computed a </w:t>
      </w:r>
      <w:r w:rsidRPr="009708B1">
        <w:rPr>
          <w:sz w:val="22"/>
          <w:szCs w:val="22"/>
        </w:rPr>
        <w:t xml:space="preserve">cost effectiveness for a quarterly LDAR program </w:t>
      </w:r>
      <w:r w:rsidR="00C3503F">
        <w:rPr>
          <w:sz w:val="22"/>
          <w:szCs w:val="22"/>
        </w:rPr>
        <w:t xml:space="preserve">to </w:t>
      </w:r>
      <w:r w:rsidRPr="009708B1">
        <w:rPr>
          <w:sz w:val="22"/>
          <w:szCs w:val="22"/>
        </w:rPr>
        <w:t>be</w:t>
      </w:r>
      <w:r>
        <w:rPr>
          <w:sz w:val="22"/>
          <w:szCs w:val="22"/>
        </w:rPr>
        <w:t xml:space="preserve"> </w:t>
      </w:r>
      <w:r w:rsidRPr="009708B1">
        <w:rPr>
          <w:sz w:val="22"/>
          <w:szCs w:val="22"/>
        </w:rPr>
        <w:t>over $1,000 per ton of CO</w:t>
      </w:r>
      <w:r w:rsidRPr="00051E3F">
        <w:rPr>
          <w:sz w:val="22"/>
          <w:szCs w:val="22"/>
          <w:vertAlign w:val="subscript"/>
        </w:rPr>
        <w:t>2</w:t>
      </w:r>
      <w:r w:rsidRPr="009708B1">
        <w:rPr>
          <w:sz w:val="22"/>
          <w:szCs w:val="22"/>
        </w:rPr>
        <w:t>e.</w:t>
      </w:r>
    </w:p>
    <w:p w:rsidR="003B2442" w:rsidRPr="006C19BE" w:rsidRDefault="003B2442" w:rsidP="003B2442">
      <w:pPr>
        <w:widowControl w:val="0"/>
        <w:spacing w:after="120"/>
        <w:rPr>
          <w:i/>
          <w:sz w:val="22"/>
          <w:szCs w:val="22"/>
          <w:highlight w:val="yellow"/>
        </w:rPr>
      </w:pPr>
      <w:r w:rsidRPr="006C19BE">
        <w:rPr>
          <w:sz w:val="22"/>
          <w:szCs w:val="22"/>
          <w:u w:val="single"/>
        </w:rPr>
        <w:t>Selection of BACT and Rationale</w:t>
      </w:r>
    </w:p>
    <w:p w:rsidR="001A2AAB" w:rsidRPr="001A2AAB" w:rsidRDefault="00AB0F51" w:rsidP="001A2AAB">
      <w:pPr>
        <w:widowControl w:val="0"/>
        <w:spacing w:after="120"/>
        <w:rPr>
          <w:sz w:val="22"/>
          <w:szCs w:val="22"/>
        </w:rPr>
      </w:pPr>
      <w:r>
        <w:rPr>
          <w:sz w:val="22"/>
          <w:szCs w:val="22"/>
        </w:rPr>
        <w:t>The applicant has selected the odorant detection method</w:t>
      </w:r>
      <w:r w:rsidR="001A2AAB" w:rsidRPr="001A2AAB">
        <w:rPr>
          <w:sz w:val="22"/>
          <w:szCs w:val="22"/>
        </w:rPr>
        <w:t xml:space="preserve"> as BACT</w:t>
      </w:r>
      <w:r>
        <w:rPr>
          <w:sz w:val="22"/>
          <w:szCs w:val="22"/>
        </w:rPr>
        <w:t xml:space="preserve"> for GHG emissions</w:t>
      </w:r>
      <w:r w:rsidR="001A2AAB" w:rsidRPr="001A2AAB">
        <w:rPr>
          <w:sz w:val="22"/>
          <w:szCs w:val="22"/>
        </w:rPr>
        <w:t xml:space="preserve">. </w:t>
      </w:r>
      <w:r w:rsidR="00184272">
        <w:rPr>
          <w:sz w:val="22"/>
          <w:szCs w:val="22"/>
        </w:rPr>
        <w:t xml:space="preserve"> </w:t>
      </w:r>
      <w:r w:rsidR="001A2AAB" w:rsidRPr="001A2AAB">
        <w:rPr>
          <w:sz w:val="22"/>
          <w:szCs w:val="22"/>
        </w:rPr>
        <w:t>An odorant detection program</w:t>
      </w:r>
      <w:r w:rsidR="001A2AAB">
        <w:rPr>
          <w:sz w:val="22"/>
          <w:szCs w:val="22"/>
        </w:rPr>
        <w:t xml:space="preserve"> </w:t>
      </w:r>
      <w:r w:rsidR="001A2AAB" w:rsidRPr="001A2AAB">
        <w:rPr>
          <w:sz w:val="22"/>
          <w:szCs w:val="22"/>
        </w:rPr>
        <w:t>meeting the following permit condition is proposed:</w:t>
      </w:r>
    </w:p>
    <w:p w:rsidR="001A2AAB" w:rsidRDefault="00AB0F51" w:rsidP="001A2AAB">
      <w:pPr>
        <w:widowControl w:val="0"/>
        <w:spacing w:after="120"/>
        <w:rPr>
          <w:sz w:val="22"/>
          <w:szCs w:val="22"/>
        </w:rPr>
      </w:pPr>
      <w:r>
        <w:rPr>
          <w:sz w:val="22"/>
          <w:szCs w:val="22"/>
        </w:rPr>
        <w:t>“</w:t>
      </w:r>
      <w:r w:rsidR="001A2AAB" w:rsidRPr="001A2AAB">
        <w:rPr>
          <w:sz w:val="22"/>
          <w:szCs w:val="22"/>
        </w:rPr>
        <w:t>Piping components used for the transmission of natural gas to the combustion turbine and duct</w:t>
      </w:r>
      <w:r w:rsidR="001A2AAB">
        <w:rPr>
          <w:sz w:val="22"/>
          <w:szCs w:val="22"/>
        </w:rPr>
        <w:t xml:space="preserve"> </w:t>
      </w:r>
      <w:r w:rsidR="001A2AAB" w:rsidRPr="001A2AAB">
        <w:rPr>
          <w:sz w:val="22"/>
          <w:szCs w:val="22"/>
        </w:rPr>
        <w:t>burners of the HRSGs shall be inspected quarterly for potential leaks through odor detection and</w:t>
      </w:r>
      <w:r w:rsidR="001A2AAB">
        <w:rPr>
          <w:sz w:val="22"/>
          <w:szCs w:val="22"/>
        </w:rPr>
        <w:t xml:space="preserve"> </w:t>
      </w:r>
      <w:r w:rsidR="001A2AAB" w:rsidRPr="001A2AAB">
        <w:rPr>
          <w:sz w:val="22"/>
          <w:szCs w:val="22"/>
        </w:rPr>
        <w:t xml:space="preserve">visible inspection. </w:t>
      </w:r>
      <w:r>
        <w:rPr>
          <w:sz w:val="22"/>
          <w:szCs w:val="22"/>
        </w:rPr>
        <w:t xml:space="preserve"> </w:t>
      </w:r>
      <w:r w:rsidR="001A2AAB" w:rsidRPr="001A2AAB">
        <w:rPr>
          <w:sz w:val="22"/>
          <w:szCs w:val="22"/>
        </w:rPr>
        <w:t>Any leaks identified by odor must be evaluated and repaired as soon as practical.</w:t>
      </w:r>
      <w:r w:rsidR="001A2AAB">
        <w:rPr>
          <w:sz w:val="22"/>
          <w:szCs w:val="22"/>
        </w:rPr>
        <w:t xml:space="preserve">  </w:t>
      </w:r>
      <w:r w:rsidR="001A2AAB" w:rsidRPr="001A2AAB">
        <w:rPr>
          <w:sz w:val="22"/>
          <w:szCs w:val="22"/>
        </w:rPr>
        <w:t>Records of inspection, detected leaks, and repairs (including action taken and duration) shall be</w:t>
      </w:r>
      <w:r w:rsidR="001A2AAB">
        <w:rPr>
          <w:sz w:val="22"/>
          <w:szCs w:val="22"/>
        </w:rPr>
        <w:t xml:space="preserve"> </w:t>
      </w:r>
      <w:r w:rsidR="001A2AAB" w:rsidRPr="001A2AAB">
        <w:rPr>
          <w:sz w:val="22"/>
          <w:szCs w:val="22"/>
        </w:rPr>
        <w:t>available upon request.</w:t>
      </w:r>
      <w:r>
        <w:rPr>
          <w:sz w:val="22"/>
          <w:szCs w:val="22"/>
        </w:rPr>
        <w:t>”</w:t>
      </w:r>
    </w:p>
    <w:p w:rsidR="00390592" w:rsidRPr="00DC74FF" w:rsidRDefault="00A528A3" w:rsidP="003B2442">
      <w:pPr>
        <w:widowControl w:val="0"/>
        <w:spacing w:after="120"/>
        <w:rPr>
          <w:sz w:val="22"/>
          <w:szCs w:val="22"/>
        </w:rPr>
      </w:pPr>
      <w:r>
        <w:rPr>
          <w:sz w:val="22"/>
          <w:szCs w:val="22"/>
        </w:rPr>
        <w:t>The Department rejects the proposed BACT determination and notes that the emission factors</w:t>
      </w:r>
      <w:r w:rsidR="009B396B" w:rsidRPr="009B396B">
        <w:t xml:space="preserve"> </w:t>
      </w:r>
      <w:r w:rsidR="009B396B" w:rsidRPr="009B396B">
        <w:rPr>
          <w:sz w:val="22"/>
          <w:szCs w:val="22"/>
        </w:rPr>
        <w:t>contained in 40 CFR Part 98, Subpart W</w:t>
      </w:r>
      <w:r w:rsidR="009E6E72">
        <w:rPr>
          <w:sz w:val="22"/>
          <w:szCs w:val="22"/>
        </w:rPr>
        <w:t xml:space="preserve">, </w:t>
      </w:r>
      <w:r>
        <w:rPr>
          <w:sz w:val="22"/>
          <w:szCs w:val="22"/>
        </w:rPr>
        <w:t xml:space="preserve">are </w:t>
      </w:r>
      <w:r w:rsidR="009E6E72">
        <w:rPr>
          <w:sz w:val="22"/>
          <w:szCs w:val="22"/>
        </w:rPr>
        <w:t xml:space="preserve">in reference to a </w:t>
      </w:r>
      <w:r w:rsidR="009E6E72" w:rsidRPr="009E6E72">
        <w:rPr>
          <w:sz w:val="22"/>
          <w:szCs w:val="22"/>
        </w:rPr>
        <w:t>study that was published in 1996</w:t>
      </w:r>
      <w:r w:rsidR="00F710AD">
        <w:rPr>
          <w:sz w:val="22"/>
          <w:szCs w:val="22"/>
        </w:rPr>
        <w:t xml:space="preserve"> from </w:t>
      </w:r>
      <w:r w:rsidR="00F710AD" w:rsidRPr="00F710AD">
        <w:rPr>
          <w:sz w:val="22"/>
          <w:szCs w:val="22"/>
        </w:rPr>
        <w:t>well-site natural gas treatment processes</w:t>
      </w:r>
      <w:r w:rsidR="00F710AD">
        <w:rPr>
          <w:sz w:val="22"/>
          <w:szCs w:val="22"/>
        </w:rPr>
        <w:t xml:space="preserve">.  </w:t>
      </w:r>
      <w:r w:rsidR="004C5592">
        <w:rPr>
          <w:sz w:val="22"/>
          <w:szCs w:val="22"/>
        </w:rPr>
        <w:t xml:space="preserve">Therefore, the Department </w:t>
      </w:r>
      <w:r w:rsidR="00E85D44">
        <w:rPr>
          <w:sz w:val="22"/>
          <w:szCs w:val="22"/>
        </w:rPr>
        <w:t>would like to gather specific on-site data to better represent the natural gas leakage found in NGPPs.  Similar to the GHG BACT determination provided for the DBEC project, i</w:t>
      </w:r>
      <w:r w:rsidR="00390592" w:rsidRPr="00390592">
        <w:rPr>
          <w:sz w:val="22"/>
          <w:szCs w:val="22"/>
        </w:rPr>
        <w:t>n lieu of specified LDAR requirements, the permittee will calculate a facility-specific methane loss rate from the gas entering the plant and the gas combustion rates of the permitted emissions units.  The permittee will be required to measure the following:</w:t>
      </w:r>
      <w:r w:rsidR="00E55E48">
        <w:rPr>
          <w:sz w:val="22"/>
          <w:szCs w:val="22"/>
        </w:rPr>
        <w:t xml:space="preserve"> </w:t>
      </w:r>
      <w:r w:rsidR="00E55E48" w:rsidRPr="00E55E48">
        <w:rPr>
          <w:sz w:val="22"/>
          <w:szCs w:val="22"/>
        </w:rPr>
        <w:t xml:space="preserve">(1) gas flow at the inlet to the SHCCF gas yard, (2) gas consumed by the SHCCF combustion turbine (EU No. </w:t>
      </w:r>
      <w:r w:rsidR="00DF3719">
        <w:rPr>
          <w:sz w:val="22"/>
          <w:szCs w:val="22"/>
        </w:rPr>
        <w:t>001</w:t>
      </w:r>
      <w:r w:rsidR="00E55E48" w:rsidRPr="00E55E48">
        <w:rPr>
          <w:sz w:val="22"/>
          <w:szCs w:val="22"/>
        </w:rPr>
        <w:t xml:space="preserve">), (3) gas consumed by the duct burner, and (4) gas consumed by the SHCCF auxiliary boiler (EU No. </w:t>
      </w:r>
      <w:r w:rsidR="003C416C">
        <w:rPr>
          <w:sz w:val="22"/>
          <w:szCs w:val="22"/>
        </w:rPr>
        <w:t>002</w:t>
      </w:r>
      <w:r w:rsidR="00E55E48" w:rsidRPr="00E55E48">
        <w:rPr>
          <w:sz w:val="22"/>
          <w:szCs w:val="22"/>
        </w:rPr>
        <w:t>).  At the end of each calendar month, the permittee shall calculate the amount of methane difference for the month.  The amount of methane difference shall be calculated as the difference between the gas flow into the SHCCF (Item 1) and the gas consumed by the emissions units of the SHCCF (Items 2, 3, and 4).  Estimates of any natural gas required to be evacuated for safety reasons, based on engineer calculations, may be deducted from the monthly methane difference</w:t>
      </w:r>
      <w:r w:rsidR="00E85D44" w:rsidRPr="00E85D44">
        <w:rPr>
          <w:sz w:val="22"/>
          <w:szCs w:val="22"/>
        </w:rPr>
        <w:t>.</w:t>
      </w:r>
      <w:r w:rsidR="00390592" w:rsidRPr="00390592">
        <w:rPr>
          <w:sz w:val="22"/>
          <w:szCs w:val="22"/>
        </w:rPr>
        <w:t xml:space="preserve"> </w:t>
      </w:r>
      <w:r w:rsidR="003F04EB">
        <w:rPr>
          <w:sz w:val="22"/>
          <w:szCs w:val="22"/>
        </w:rPr>
        <w:t xml:space="preserve"> </w:t>
      </w:r>
      <w:r w:rsidR="00390592" w:rsidRPr="00390592">
        <w:rPr>
          <w:sz w:val="22"/>
          <w:szCs w:val="22"/>
        </w:rPr>
        <w:t xml:space="preserve">The permittee will be required to record and calculate these rates monthly and report annually to the Department. </w:t>
      </w:r>
      <w:r w:rsidR="003F04EB">
        <w:rPr>
          <w:sz w:val="22"/>
          <w:szCs w:val="22"/>
        </w:rPr>
        <w:t xml:space="preserve"> </w:t>
      </w:r>
      <w:r w:rsidR="00390592" w:rsidRPr="00390592">
        <w:rPr>
          <w:sz w:val="22"/>
          <w:szCs w:val="22"/>
        </w:rPr>
        <w:t>The purpose of this alternate work practice standard is to confirm tight-fitting components consistent with a well-maintained system.</w:t>
      </w:r>
    </w:p>
    <w:p w:rsidR="00183DED" w:rsidRPr="00290299" w:rsidRDefault="00183DED" w:rsidP="003E3FA4">
      <w:pPr>
        <w:pStyle w:val="ListParagraph"/>
        <w:widowControl w:val="0"/>
        <w:numPr>
          <w:ilvl w:val="0"/>
          <w:numId w:val="3"/>
        </w:numPr>
        <w:spacing w:after="120"/>
        <w:ind w:left="720" w:hanging="720"/>
        <w:contextualSpacing w:val="0"/>
        <w:rPr>
          <w:b/>
          <w:caps/>
          <w:sz w:val="22"/>
          <w:szCs w:val="22"/>
        </w:rPr>
      </w:pPr>
      <w:r w:rsidRPr="00290299">
        <w:rPr>
          <w:b/>
          <w:caps/>
          <w:sz w:val="22"/>
          <w:szCs w:val="22"/>
        </w:rPr>
        <w:t>Air Quality Analysis</w:t>
      </w:r>
    </w:p>
    <w:p w:rsidR="00EF6B10" w:rsidRPr="00EF6B10" w:rsidRDefault="00EF6B10" w:rsidP="00EF6B10">
      <w:pPr>
        <w:widowControl w:val="0"/>
        <w:spacing w:after="120"/>
        <w:rPr>
          <w:sz w:val="22"/>
          <w:szCs w:val="22"/>
        </w:rPr>
      </w:pPr>
      <w:r w:rsidRPr="00EF6B10">
        <w:rPr>
          <w:sz w:val="22"/>
          <w:szCs w:val="22"/>
        </w:rPr>
        <w:t xml:space="preserve">As a part of this review, Rules 62-212.400(7) and 62-212.400(5), F.A.C., require the applicant to perform a current air quality analysis and a source impact analysis for each PSD applicable pollutant. </w:t>
      </w:r>
      <w:r w:rsidR="00812741">
        <w:rPr>
          <w:sz w:val="22"/>
          <w:szCs w:val="22"/>
        </w:rPr>
        <w:t xml:space="preserve"> </w:t>
      </w:r>
      <w:r w:rsidRPr="00EF6B10">
        <w:rPr>
          <w:sz w:val="22"/>
          <w:szCs w:val="22"/>
        </w:rPr>
        <w:t>The emission rates in (</w:t>
      </w:r>
      <w:r w:rsidR="003260CF">
        <w:rPr>
          <w:sz w:val="22"/>
          <w:szCs w:val="22"/>
        </w:rPr>
        <w:t xml:space="preserve">see </w:t>
      </w:r>
      <w:r w:rsidR="003260CF" w:rsidRPr="003260CF">
        <w:rPr>
          <w:b/>
          <w:sz w:val="22"/>
          <w:szCs w:val="22"/>
        </w:rPr>
        <w:fldChar w:fldCharType="begin"/>
      </w:r>
      <w:r w:rsidR="003260CF" w:rsidRPr="003260CF">
        <w:rPr>
          <w:b/>
          <w:sz w:val="22"/>
          <w:szCs w:val="22"/>
        </w:rPr>
        <w:instrText xml:space="preserve"> REF _Ref513616582 \h  \* MERGEFORMAT </w:instrText>
      </w:r>
      <w:r w:rsidR="003260CF" w:rsidRPr="003260CF">
        <w:rPr>
          <w:b/>
          <w:sz w:val="22"/>
          <w:szCs w:val="22"/>
        </w:rPr>
      </w:r>
      <w:r w:rsidR="003260CF" w:rsidRPr="003260CF">
        <w:rPr>
          <w:b/>
          <w:sz w:val="22"/>
          <w:szCs w:val="22"/>
        </w:rPr>
        <w:fldChar w:fldCharType="separate"/>
      </w:r>
      <w:r w:rsidR="003260CF" w:rsidRPr="003260CF">
        <w:rPr>
          <w:b/>
          <w:sz w:val="22"/>
          <w:szCs w:val="22"/>
        </w:rPr>
        <w:t xml:space="preserve">Table </w:t>
      </w:r>
      <w:r w:rsidR="003260CF" w:rsidRPr="003260CF">
        <w:rPr>
          <w:b/>
          <w:noProof/>
          <w:sz w:val="22"/>
          <w:szCs w:val="22"/>
        </w:rPr>
        <w:t>5</w:t>
      </w:r>
      <w:r w:rsidR="003260CF" w:rsidRPr="003260CF">
        <w:rPr>
          <w:b/>
          <w:sz w:val="22"/>
          <w:szCs w:val="22"/>
        </w:rPr>
        <w:fldChar w:fldCharType="end"/>
      </w:r>
      <w:r w:rsidRPr="00EF6B10">
        <w:rPr>
          <w:sz w:val="22"/>
          <w:szCs w:val="22"/>
        </w:rPr>
        <w:t>) are based on the worst-case operating scenario for each pollutant and indicate that SO</w:t>
      </w:r>
      <w:r w:rsidRPr="00EF6B10">
        <w:rPr>
          <w:sz w:val="22"/>
          <w:szCs w:val="22"/>
          <w:vertAlign w:val="subscript"/>
        </w:rPr>
        <w:t>2</w:t>
      </w:r>
      <w:r w:rsidRPr="00EF6B10">
        <w:rPr>
          <w:sz w:val="22"/>
          <w:szCs w:val="22"/>
        </w:rPr>
        <w:t>, NO</w:t>
      </w:r>
      <w:r w:rsidRPr="00EF6B10">
        <w:rPr>
          <w:sz w:val="22"/>
          <w:szCs w:val="22"/>
          <w:vertAlign w:val="subscript"/>
        </w:rPr>
        <w:t>X</w:t>
      </w:r>
      <w:r w:rsidRPr="00EF6B10">
        <w:rPr>
          <w:sz w:val="22"/>
          <w:szCs w:val="22"/>
        </w:rPr>
        <w:t>, CO, PM, PM</w:t>
      </w:r>
      <w:r w:rsidRPr="00EF6B10">
        <w:rPr>
          <w:sz w:val="22"/>
          <w:szCs w:val="22"/>
          <w:vertAlign w:val="subscript"/>
        </w:rPr>
        <w:t>10</w:t>
      </w:r>
      <w:r w:rsidRPr="00EF6B10">
        <w:rPr>
          <w:sz w:val="22"/>
          <w:szCs w:val="22"/>
        </w:rPr>
        <w:t>, and PM</w:t>
      </w:r>
      <w:r w:rsidRPr="00EF6B10">
        <w:rPr>
          <w:sz w:val="22"/>
          <w:szCs w:val="22"/>
          <w:vertAlign w:val="subscript"/>
        </w:rPr>
        <w:t>2.5</w:t>
      </w:r>
      <w:r w:rsidRPr="00EF6B10">
        <w:rPr>
          <w:sz w:val="22"/>
          <w:szCs w:val="22"/>
        </w:rPr>
        <w:t xml:space="preserve"> are subject to review.</w:t>
      </w:r>
    </w:p>
    <w:p w:rsidR="00EF6B10" w:rsidRPr="003E3FA4" w:rsidRDefault="00EF6B10" w:rsidP="003E3FA4">
      <w:pPr>
        <w:pStyle w:val="ListParagraph"/>
        <w:widowControl w:val="0"/>
        <w:numPr>
          <w:ilvl w:val="1"/>
          <w:numId w:val="3"/>
        </w:numPr>
        <w:spacing w:after="120"/>
        <w:ind w:left="720" w:hanging="720"/>
        <w:contextualSpacing w:val="0"/>
        <w:rPr>
          <w:b/>
          <w:caps/>
          <w:sz w:val="22"/>
          <w:szCs w:val="22"/>
        </w:rPr>
      </w:pPr>
      <w:r w:rsidRPr="00EF6B10">
        <w:rPr>
          <w:b/>
          <w:sz w:val="22"/>
          <w:szCs w:val="22"/>
        </w:rPr>
        <w:t>Current Air Quality Analysis</w:t>
      </w:r>
    </w:p>
    <w:p w:rsidR="00EF6B10" w:rsidRPr="003E3FA4" w:rsidRDefault="00EF6B10" w:rsidP="003E3FA4">
      <w:pPr>
        <w:pStyle w:val="ListParagraph"/>
        <w:widowControl w:val="0"/>
        <w:numPr>
          <w:ilvl w:val="2"/>
          <w:numId w:val="3"/>
        </w:numPr>
        <w:spacing w:after="120"/>
        <w:ind w:left="720" w:hanging="720"/>
        <w:contextualSpacing w:val="0"/>
        <w:rPr>
          <w:b/>
          <w:caps/>
          <w:sz w:val="22"/>
          <w:szCs w:val="22"/>
        </w:rPr>
      </w:pPr>
      <w:r w:rsidRPr="00EF6B10">
        <w:rPr>
          <w:sz w:val="22"/>
          <w:szCs w:val="22"/>
          <w:u w:val="single"/>
        </w:rPr>
        <w:t>State Level</w:t>
      </w:r>
    </w:p>
    <w:p w:rsidR="00EF6B10" w:rsidRDefault="00EF6B10" w:rsidP="00EF6B10">
      <w:pPr>
        <w:widowControl w:val="0"/>
        <w:spacing w:after="120"/>
        <w:rPr>
          <w:sz w:val="22"/>
          <w:szCs w:val="22"/>
        </w:rPr>
      </w:pPr>
      <w:r w:rsidRPr="00EF6B10">
        <w:rPr>
          <w:sz w:val="22"/>
          <w:szCs w:val="22"/>
        </w:rPr>
        <w:t xml:space="preserve">The State of Florida has generally good ambient air quality and is currently in attainment of all national ambient air quality standards (NAAQS) in the vicinity of this project. </w:t>
      </w:r>
      <w:r w:rsidR="00874A0F">
        <w:rPr>
          <w:sz w:val="22"/>
          <w:szCs w:val="22"/>
        </w:rPr>
        <w:t xml:space="preserve"> </w:t>
      </w:r>
      <w:r w:rsidRPr="00EF6B10">
        <w:rPr>
          <w:sz w:val="22"/>
          <w:szCs w:val="22"/>
        </w:rPr>
        <w:t xml:space="preserve">As can be seen in </w:t>
      </w:r>
      <w:r w:rsidRPr="00EF6B10">
        <w:rPr>
          <w:b/>
          <w:sz w:val="22"/>
          <w:szCs w:val="22"/>
        </w:rPr>
        <w:fldChar w:fldCharType="begin"/>
      </w:r>
      <w:r w:rsidRPr="00EF6B10">
        <w:rPr>
          <w:b/>
          <w:sz w:val="22"/>
          <w:szCs w:val="22"/>
        </w:rPr>
        <w:instrText xml:space="preserve"> REF _Ref485728406 \h  \* MERGEFORMAT </w:instrText>
      </w:r>
      <w:r w:rsidRPr="00EF6B10">
        <w:rPr>
          <w:b/>
          <w:sz w:val="22"/>
          <w:szCs w:val="22"/>
        </w:rPr>
      </w:r>
      <w:r w:rsidRPr="00EF6B10">
        <w:rPr>
          <w:b/>
          <w:sz w:val="22"/>
          <w:szCs w:val="22"/>
        </w:rPr>
        <w:fldChar w:fldCharType="separate"/>
      </w:r>
      <w:r w:rsidR="003E3FA4" w:rsidRPr="003E3FA4">
        <w:rPr>
          <w:b/>
          <w:sz w:val="22"/>
          <w:szCs w:val="22"/>
        </w:rPr>
        <w:t>Figure 7</w:t>
      </w:r>
      <w:r w:rsidRPr="00EF6B10">
        <w:rPr>
          <w:sz w:val="22"/>
          <w:szCs w:val="22"/>
        </w:rPr>
        <w:fldChar w:fldCharType="end"/>
      </w:r>
      <w:r w:rsidRPr="00EF6B10">
        <w:rPr>
          <w:sz w:val="22"/>
          <w:szCs w:val="22"/>
        </w:rPr>
        <w:t xml:space="preserve">, Florida’s air monitor design values are well within attainment of the NAAQS for </w:t>
      </w:r>
      <w:r w:rsidR="003260CF">
        <w:rPr>
          <w:sz w:val="22"/>
          <w:szCs w:val="22"/>
        </w:rPr>
        <w:t xml:space="preserve">ozone, </w:t>
      </w:r>
      <w:r w:rsidRPr="00EF6B10">
        <w:rPr>
          <w:sz w:val="22"/>
          <w:szCs w:val="22"/>
        </w:rPr>
        <w:t>SO</w:t>
      </w:r>
      <w:r w:rsidRPr="00EF6B10">
        <w:rPr>
          <w:sz w:val="22"/>
          <w:szCs w:val="22"/>
          <w:vertAlign w:val="subscript"/>
        </w:rPr>
        <w:t>2</w:t>
      </w:r>
      <w:r w:rsidRPr="00EF6B10">
        <w:rPr>
          <w:sz w:val="22"/>
          <w:szCs w:val="22"/>
        </w:rPr>
        <w:t>, NO</w:t>
      </w:r>
      <w:r w:rsidRPr="00EF6B10">
        <w:rPr>
          <w:sz w:val="22"/>
          <w:szCs w:val="22"/>
          <w:vertAlign w:val="subscript"/>
        </w:rPr>
        <w:t>2</w:t>
      </w:r>
      <w:r w:rsidRPr="00EF6B10">
        <w:rPr>
          <w:sz w:val="22"/>
          <w:szCs w:val="22"/>
        </w:rPr>
        <w:t>, CO, PM</w:t>
      </w:r>
      <w:r w:rsidRPr="00EF6B10">
        <w:rPr>
          <w:sz w:val="22"/>
          <w:szCs w:val="22"/>
          <w:vertAlign w:val="subscript"/>
        </w:rPr>
        <w:t>10</w:t>
      </w:r>
      <w:r w:rsidRPr="00EF6B10">
        <w:rPr>
          <w:sz w:val="22"/>
          <w:szCs w:val="22"/>
        </w:rPr>
        <w:t xml:space="preserve"> and PM</w:t>
      </w:r>
      <w:r w:rsidRPr="00EF6B10">
        <w:rPr>
          <w:sz w:val="22"/>
          <w:szCs w:val="22"/>
          <w:vertAlign w:val="subscript"/>
        </w:rPr>
        <w:t>2.5</w:t>
      </w:r>
      <w:r w:rsidRPr="00EF6B10">
        <w:rPr>
          <w:sz w:val="22"/>
          <w:szCs w:val="22"/>
        </w:rPr>
        <w:t xml:space="preserve">. </w:t>
      </w:r>
      <w:r w:rsidR="001825FD">
        <w:rPr>
          <w:sz w:val="22"/>
          <w:szCs w:val="22"/>
        </w:rPr>
        <w:t xml:space="preserve"> </w:t>
      </w:r>
    </w:p>
    <w:p w:rsidR="003260CF" w:rsidRDefault="003260CF" w:rsidP="003260CF">
      <w:pPr>
        <w:widowControl w:val="0"/>
        <w:spacing w:after="120"/>
        <w:rPr>
          <w:sz w:val="22"/>
          <w:szCs w:val="22"/>
        </w:rPr>
      </w:pPr>
      <w:r w:rsidRPr="00EF6B10">
        <w:rPr>
          <w:sz w:val="22"/>
          <w:szCs w:val="22"/>
        </w:rPr>
        <w:t>In addition, air pollutant emissions have seen a significant decrease (</w:t>
      </w:r>
      <w:r w:rsidRPr="00EF6B10">
        <w:rPr>
          <w:b/>
          <w:sz w:val="22"/>
          <w:szCs w:val="22"/>
        </w:rPr>
        <w:fldChar w:fldCharType="begin"/>
      </w:r>
      <w:r w:rsidRPr="00EF6B10">
        <w:rPr>
          <w:b/>
          <w:sz w:val="22"/>
          <w:szCs w:val="22"/>
        </w:rPr>
        <w:instrText xml:space="preserve"> REF _Ref485728489 \h  \* MERGEFORMAT </w:instrText>
      </w:r>
      <w:r w:rsidRPr="00EF6B10">
        <w:rPr>
          <w:b/>
          <w:sz w:val="22"/>
          <w:szCs w:val="22"/>
        </w:rPr>
      </w:r>
      <w:r w:rsidRPr="00EF6B10">
        <w:rPr>
          <w:b/>
          <w:sz w:val="22"/>
          <w:szCs w:val="22"/>
        </w:rPr>
        <w:fldChar w:fldCharType="separate"/>
      </w:r>
      <w:r w:rsidRPr="00EF6B10">
        <w:rPr>
          <w:b/>
          <w:sz w:val="22"/>
          <w:szCs w:val="22"/>
        </w:rPr>
        <w:t xml:space="preserve">Figure </w:t>
      </w:r>
      <w:r>
        <w:rPr>
          <w:b/>
          <w:sz w:val="22"/>
          <w:szCs w:val="22"/>
        </w:rPr>
        <w:t>8</w:t>
      </w:r>
      <w:r w:rsidRPr="00EF6B10">
        <w:rPr>
          <w:sz w:val="22"/>
          <w:szCs w:val="22"/>
        </w:rPr>
        <w:fldChar w:fldCharType="end"/>
      </w:r>
      <w:r w:rsidRPr="00EF6B10">
        <w:rPr>
          <w:sz w:val="22"/>
          <w:szCs w:val="22"/>
        </w:rPr>
        <w:t xml:space="preserve">). </w:t>
      </w:r>
      <w:r>
        <w:rPr>
          <w:sz w:val="22"/>
          <w:szCs w:val="22"/>
        </w:rPr>
        <w:t xml:space="preserve"> </w:t>
      </w:r>
      <w:r w:rsidRPr="00EF6B10">
        <w:rPr>
          <w:sz w:val="22"/>
          <w:szCs w:val="22"/>
        </w:rPr>
        <w:t xml:space="preserve">Statewide actual annual emissions from stationary sources have decreased significantly </w:t>
      </w:r>
      <w:r>
        <w:rPr>
          <w:sz w:val="22"/>
          <w:szCs w:val="22"/>
        </w:rPr>
        <w:t>from</w:t>
      </w:r>
      <w:r w:rsidRPr="00EF6B10">
        <w:rPr>
          <w:sz w:val="22"/>
          <w:szCs w:val="22"/>
        </w:rPr>
        <w:t xml:space="preserve"> 2000</w:t>
      </w:r>
      <w:r>
        <w:rPr>
          <w:sz w:val="22"/>
          <w:szCs w:val="22"/>
        </w:rPr>
        <w:t xml:space="preserve"> to 2016</w:t>
      </w:r>
      <w:r w:rsidRPr="00EF6B10">
        <w:rPr>
          <w:sz w:val="22"/>
          <w:szCs w:val="22"/>
        </w:rPr>
        <w:t>; specifically, PM emissions have decreased 76%, SO</w:t>
      </w:r>
      <w:r w:rsidRPr="00EF6B10">
        <w:rPr>
          <w:sz w:val="22"/>
          <w:szCs w:val="22"/>
          <w:vertAlign w:val="subscript"/>
        </w:rPr>
        <w:t>2</w:t>
      </w:r>
      <w:r w:rsidRPr="00EF6B10">
        <w:rPr>
          <w:sz w:val="22"/>
          <w:szCs w:val="22"/>
        </w:rPr>
        <w:t xml:space="preserve"> emission 88%, NO</w:t>
      </w:r>
      <w:r w:rsidRPr="00EF6B10">
        <w:rPr>
          <w:sz w:val="22"/>
          <w:szCs w:val="22"/>
          <w:vertAlign w:val="subscript"/>
        </w:rPr>
        <w:t>X</w:t>
      </w:r>
      <w:r w:rsidRPr="00EF6B10">
        <w:rPr>
          <w:sz w:val="22"/>
          <w:szCs w:val="22"/>
        </w:rPr>
        <w:t xml:space="preserve"> emissions 71%, and CO emissions 56% since 2000. </w:t>
      </w:r>
      <w:r>
        <w:rPr>
          <w:sz w:val="22"/>
          <w:szCs w:val="22"/>
        </w:rPr>
        <w:t xml:space="preserve"> </w:t>
      </w:r>
      <w:r w:rsidRPr="00EF6B10">
        <w:rPr>
          <w:sz w:val="22"/>
          <w:szCs w:val="22"/>
        </w:rPr>
        <w:t>These emission decre</w:t>
      </w:r>
      <w:r>
        <w:rPr>
          <w:sz w:val="22"/>
          <w:szCs w:val="22"/>
        </w:rPr>
        <w:t>ases have occurred in spite of</w:t>
      </w:r>
      <w:r w:rsidRPr="00EF6B10">
        <w:rPr>
          <w:sz w:val="22"/>
          <w:szCs w:val="22"/>
        </w:rPr>
        <w:t xml:space="preserve"> the population of Florida </w:t>
      </w:r>
      <w:r>
        <w:rPr>
          <w:sz w:val="22"/>
          <w:szCs w:val="22"/>
        </w:rPr>
        <w:t>increasing by</w:t>
      </w:r>
      <w:r w:rsidRPr="00EF6B10">
        <w:rPr>
          <w:sz w:val="22"/>
          <w:szCs w:val="22"/>
        </w:rPr>
        <w:t xml:space="preserve"> over four and a half million, or 28%, through the same period. </w:t>
      </w:r>
      <w:r>
        <w:rPr>
          <w:sz w:val="22"/>
          <w:szCs w:val="22"/>
        </w:rPr>
        <w:t xml:space="preserve"> </w:t>
      </w:r>
      <w:r w:rsidRPr="00EF6B10">
        <w:rPr>
          <w:sz w:val="22"/>
          <w:szCs w:val="22"/>
        </w:rPr>
        <w:t>A variety of national rules that are currently being implemented are expected to maintain these lower levels or even reduce them further in the foreseeable future.</w:t>
      </w:r>
    </w:p>
    <w:p w:rsidR="003260CF" w:rsidRDefault="003260CF">
      <w:pPr>
        <w:rPr>
          <w:sz w:val="22"/>
          <w:szCs w:val="22"/>
        </w:rPr>
      </w:pPr>
      <w:r>
        <w:rPr>
          <w:sz w:val="22"/>
          <w:szCs w:val="22"/>
        </w:rPr>
        <w:br w:type="page"/>
      </w:r>
    </w:p>
    <w:p w:rsidR="00EF6B10" w:rsidRPr="00EF6B10" w:rsidRDefault="00EF6B10" w:rsidP="0092688D">
      <w:pPr>
        <w:widowControl w:val="0"/>
        <w:spacing w:after="120"/>
        <w:jc w:val="center"/>
        <w:rPr>
          <w:sz w:val="22"/>
          <w:szCs w:val="22"/>
        </w:rPr>
      </w:pPr>
      <w:r w:rsidRPr="00EF6B10">
        <w:rPr>
          <w:noProof/>
          <w:sz w:val="22"/>
          <w:szCs w:val="22"/>
        </w:rPr>
        <w:drawing>
          <wp:inline distT="0" distB="0" distL="0" distR="0" wp14:anchorId="5AAB8200" wp14:editId="00A72F7E">
            <wp:extent cx="3133791" cy="2414249"/>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2016 CO Design Values.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147793" cy="2425036"/>
                    </a:xfrm>
                    <a:prstGeom prst="rect">
                      <a:avLst/>
                    </a:prstGeom>
                  </pic:spPr>
                </pic:pic>
              </a:graphicData>
            </a:graphic>
          </wp:inline>
        </w:drawing>
      </w:r>
      <w:r w:rsidRPr="00EF6B10">
        <w:rPr>
          <w:noProof/>
          <w:sz w:val="22"/>
          <w:szCs w:val="22"/>
        </w:rPr>
        <w:drawing>
          <wp:inline distT="0" distB="0" distL="0" distR="0" wp14:anchorId="28D5A10F" wp14:editId="26907D57">
            <wp:extent cx="3103822" cy="2391162"/>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16 NO2 Design Values.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115996" cy="2400541"/>
                    </a:xfrm>
                    <a:prstGeom prst="rect">
                      <a:avLst/>
                    </a:prstGeom>
                  </pic:spPr>
                </pic:pic>
              </a:graphicData>
            </a:graphic>
          </wp:inline>
        </w:drawing>
      </w:r>
      <w:r w:rsidRPr="00EF6B10">
        <w:rPr>
          <w:noProof/>
          <w:sz w:val="22"/>
          <w:szCs w:val="22"/>
        </w:rPr>
        <w:drawing>
          <wp:inline distT="0" distB="0" distL="0" distR="0" wp14:anchorId="10253D20" wp14:editId="7FA6AD88">
            <wp:extent cx="3098343" cy="2386941"/>
            <wp:effectExtent l="0" t="0" r="698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2016 Ozone Design Values.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02769" cy="2390351"/>
                    </a:xfrm>
                    <a:prstGeom prst="rect">
                      <a:avLst/>
                    </a:prstGeom>
                  </pic:spPr>
                </pic:pic>
              </a:graphicData>
            </a:graphic>
          </wp:inline>
        </w:drawing>
      </w:r>
      <w:r w:rsidRPr="00EF6B10">
        <w:rPr>
          <w:noProof/>
          <w:sz w:val="22"/>
          <w:szCs w:val="22"/>
        </w:rPr>
        <w:drawing>
          <wp:inline distT="0" distB="0" distL="0" distR="0" wp14:anchorId="385C25BE" wp14:editId="4220B879">
            <wp:extent cx="3080360" cy="2373087"/>
            <wp:effectExtent l="0" t="0" r="635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2016 PM10 Design Values.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081853" cy="2374237"/>
                    </a:xfrm>
                    <a:prstGeom prst="rect">
                      <a:avLst/>
                    </a:prstGeom>
                  </pic:spPr>
                </pic:pic>
              </a:graphicData>
            </a:graphic>
          </wp:inline>
        </w:drawing>
      </w:r>
      <w:r w:rsidRPr="00EF6B10">
        <w:rPr>
          <w:noProof/>
          <w:sz w:val="22"/>
          <w:szCs w:val="22"/>
        </w:rPr>
        <w:drawing>
          <wp:inline distT="0" distB="0" distL="0" distR="0" wp14:anchorId="7C51DA9C" wp14:editId="6B3C9F03">
            <wp:extent cx="3175415" cy="2446316"/>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016 PM25 Design Values.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178691" cy="2448840"/>
                    </a:xfrm>
                    <a:prstGeom prst="rect">
                      <a:avLst/>
                    </a:prstGeom>
                  </pic:spPr>
                </pic:pic>
              </a:graphicData>
            </a:graphic>
          </wp:inline>
        </w:drawing>
      </w:r>
      <w:r w:rsidRPr="00EF6B10">
        <w:rPr>
          <w:noProof/>
          <w:sz w:val="22"/>
          <w:szCs w:val="22"/>
        </w:rPr>
        <w:drawing>
          <wp:inline distT="0" distB="0" distL="0" distR="0" wp14:anchorId="0FAD182D" wp14:editId="7E8520FA">
            <wp:extent cx="3105398" cy="2399626"/>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2016 SO2 Design Values.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111605" cy="2404422"/>
                    </a:xfrm>
                    <a:prstGeom prst="rect">
                      <a:avLst/>
                    </a:prstGeom>
                  </pic:spPr>
                </pic:pic>
              </a:graphicData>
            </a:graphic>
          </wp:inline>
        </w:drawing>
      </w:r>
    </w:p>
    <w:p w:rsidR="00EF6B10" w:rsidRDefault="00EF6B10" w:rsidP="007127F7">
      <w:pPr>
        <w:widowControl w:val="0"/>
        <w:spacing w:after="120"/>
        <w:jc w:val="center"/>
        <w:rPr>
          <w:b/>
          <w:sz w:val="22"/>
          <w:szCs w:val="22"/>
        </w:rPr>
      </w:pPr>
      <w:bookmarkStart w:id="74" w:name="_Ref485728406"/>
      <w:r w:rsidRPr="00CE23DD">
        <w:rPr>
          <w:rFonts w:ascii="Times New Roman Bold" w:hAnsi="Times New Roman Bold"/>
          <w:b/>
          <w:sz w:val="22"/>
        </w:rPr>
        <w:t xml:space="preserve">Figure </w:t>
      </w:r>
      <w:r w:rsidRPr="00CE23DD">
        <w:rPr>
          <w:rFonts w:ascii="Times New Roman Bold" w:hAnsi="Times New Roman Bold"/>
          <w:b/>
          <w:sz w:val="22"/>
        </w:rPr>
        <w:fldChar w:fldCharType="begin"/>
      </w:r>
      <w:r w:rsidRPr="00CE23DD">
        <w:rPr>
          <w:rFonts w:ascii="Times New Roman Bold" w:hAnsi="Times New Roman Bold"/>
          <w:b/>
          <w:sz w:val="22"/>
        </w:rPr>
        <w:instrText xml:space="preserve"> SEQ Figure \* ARABIC </w:instrText>
      </w:r>
      <w:r w:rsidRPr="00CE23DD">
        <w:rPr>
          <w:rFonts w:ascii="Times New Roman Bold" w:hAnsi="Times New Roman Bold"/>
          <w:b/>
          <w:sz w:val="22"/>
        </w:rPr>
        <w:fldChar w:fldCharType="separate"/>
      </w:r>
      <w:r w:rsidR="003E3FA4">
        <w:rPr>
          <w:rFonts w:ascii="Times New Roman Bold" w:hAnsi="Times New Roman Bold"/>
          <w:b/>
          <w:noProof/>
          <w:sz w:val="22"/>
        </w:rPr>
        <w:t>7</w:t>
      </w:r>
      <w:r w:rsidRPr="00CE23DD">
        <w:rPr>
          <w:rFonts w:ascii="Times New Roman Bold" w:hAnsi="Times New Roman Bold"/>
          <w:b/>
          <w:sz w:val="22"/>
        </w:rPr>
        <w:fldChar w:fldCharType="end"/>
      </w:r>
      <w:bookmarkEnd w:id="74"/>
      <w:r w:rsidRPr="00CE23DD">
        <w:rPr>
          <w:rFonts w:ascii="Times New Roman Bold" w:hAnsi="Times New Roman Bold"/>
          <w:b/>
          <w:sz w:val="22"/>
        </w:rPr>
        <w:t xml:space="preserve">. </w:t>
      </w:r>
      <w:r w:rsidR="00A55C44">
        <w:rPr>
          <w:rFonts w:ascii="Times New Roman Bold" w:hAnsi="Times New Roman Bold"/>
          <w:b/>
          <w:sz w:val="22"/>
        </w:rPr>
        <w:t xml:space="preserve"> </w:t>
      </w:r>
      <w:r w:rsidRPr="00CE23DD">
        <w:rPr>
          <w:rFonts w:ascii="Times New Roman Bold" w:hAnsi="Times New Roman Bold"/>
          <w:b/>
          <w:sz w:val="22"/>
        </w:rPr>
        <w:t>Florida</w:t>
      </w:r>
      <w:r w:rsidRPr="00EF6B10">
        <w:rPr>
          <w:b/>
          <w:sz w:val="22"/>
          <w:szCs w:val="22"/>
        </w:rPr>
        <w:t xml:space="preserve"> </w:t>
      </w:r>
      <w:r w:rsidR="003E3FA4">
        <w:rPr>
          <w:b/>
          <w:sz w:val="22"/>
          <w:szCs w:val="22"/>
        </w:rPr>
        <w:t>A</w:t>
      </w:r>
      <w:r w:rsidRPr="00EF6B10">
        <w:rPr>
          <w:b/>
          <w:sz w:val="22"/>
          <w:szCs w:val="22"/>
        </w:rPr>
        <w:t xml:space="preserve">mbient </w:t>
      </w:r>
      <w:r w:rsidR="003E3FA4">
        <w:rPr>
          <w:b/>
          <w:sz w:val="22"/>
          <w:szCs w:val="22"/>
        </w:rPr>
        <w:t>A</w:t>
      </w:r>
      <w:r w:rsidRPr="00EF6B10">
        <w:rPr>
          <w:b/>
          <w:sz w:val="22"/>
          <w:szCs w:val="22"/>
        </w:rPr>
        <w:t xml:space="preserve">ir </w:t>
      </w:r>
      <w:r w:rsidR="003E3FA4">
        <w:rPr>
          <w:b/>
          <w:sz w:val="22"/>
          <w:szCs w:val="22"/>
        </w:rPr>
        <w:t>M</w:t>
      </w:r>
      <w:r w:rsidRPr="00EF6B10">
        <w:rPr>
          <w:b/>
          <w:sz w:val="22"/>
          <w:szCs w:val="22"/>
        </w:rPr>
        <w:t xml:space="preserve">onitoring </w:t>
      </w:r>
      <w:r w:rsidR="003E3FA4">
        <w:rPr>
          <w:b/>
          <w:sz w:val="22"/>
          <w:szCs w:val="22"/>
        </w:rPr>
        <w:t>N</w:t>
      </w:r>
      <w:r w:rsidRPr="00EF6B10">
        <w:rPr>
          <w:b/>
          <w:sz w:val="22"/>
          <w:szCs w:val="22"/>
        </w:rPr>
        <w:t xml:space="preserve">etwork </w:t>
      </w:r>
      <w:r w:rsidR="003E3FA4">
        <w:rPr>
          <w:b/>
          <w:sz w:val="22"/>
          <w:szCs w:val="22"/>
        </w:rPr>
        <w:t>D</w:t>
      </w:r>
      <w:r w:rsidRPr="00EF6B10">
        <w:rPr>
          <w:b/>
          <w:sz w:val="22"/>
          <w:szCs w:val="22"/>
        </w:rPr>
        <w:t xml:space="preserve">esign </w:t>
      </w:r>
      <w:r w:rsidR="003E3FA4">
        <w:rPr>
          <w:b/>
          <w:sz w:val="22"/>
          <w:szCs w:val="22"/>
        </w:rPr>
        <w:t>V</w:t>
      </w:r>
      <w:r w:rsidRPr="00EF6B10">
        <w:rPr>
          <w:b/>
          <w:sz w:val="22"/>
          <w:szCs w:val="22"/>
        </w:rPr>
        <w:t xml:space="preserve">alues for 2014-2016 </w:t>
      </w:r>
      <w:r w:rsidR="003E3FA4">
        <w:rPr>
          <w:b/>
          <w:sz w:val="22"/>
          <w:szCs w:val="22"/>
        </w:rPr>
        <w:t>(</w:t>
      </w:r>
      <w:r w:rsidRPr="00EF6B10">
        <w:rPr>
          <w:b/>
          <w:sz w:val="22"/>
          <w:szCs w:val="22"/>
        </w:rPr>
        <w:t>design values are based on expected exceedances</w:t>
      </w:r>
      <w:r w:rsidR="003E3FA4">
        <w:rPr>
          <w:b/>
          <w:sz w:val="22"/>
          <w:szCs w:val="22"/>
        </w:rPr>
        <w:t>)</w:t>
      </w:r>
      <w:r w:rsidRPr="00EF6B10">
        <w:rPr>
          <w:b/>
          <w:sz w:val="22"/>
          <w:szCs w:val="22"/>
        </w:rPr>
        <w:t>.</w:t>
      </w:r>
    </w:p>
    <w:p w:rsidR="00EF6B10" w:rsidRPr="00EF6B10" w:rsidRDefault="00EF6B10" w:rsidP="00C13D9A">
      <w:pPr>
        <w:widowControl w:val="0"/>
        <w:spacing w:after="120"/>
        <w:jc w:val="center"/>
        <w:rPr>
          <w:sz w:val="22"/>
          <w:szCs w:val="22"/>
        </w:rPr>
      </w:pPr>
      <w:r w:rsidRPr="00EF6B10">
        <w:rPr>
          <w:noProof/>
          <w:sz w:val="22"/>
          <w:szCs w:val="22"/>
        </w:rPr>
        <w:drawing>
          <wp:inline distT="0" distB="0" distL="0" distR="0" wp14:anchorId="544F2495" wp14:editId="7B3B5B71">
            <wp:extent cx="6419562" cy="3810000"/>
            <wp:effectExtent l="0" t="0" r="63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igure2.png"/>
                    <pic:cNvPicPr/>
                  </pic:nvPicPr>
                  <pic:blipFill>
                    <a:blip r:embed="rId31">
                      <a:extLst>
                        <a:ext uri="{28A0092B-C50C-407E-A947-70E740481C1C}">
                          <a14:useLocalDpi xmlns:a14="http://schemas.microsoft.com/office/drawing/2010/main" val="0"/>
                        </a:ext>
                      </a:extLst>
                    </a:blip>
                    <a:stretch>
                      <a:fillRect/>
                    </a:stretch>
                  </pic:blipFill>
                  <pic:spPr>
                    <a:xfrm>
                      <a:off x="0" y="0"/>
                      <a:ext cx="6436485" cy="3820044"/>
                    </a:xfrm>
                    <a:prstGeom prst="rect">
                      <a:avLst/>
                    </a:prstGeom>
                  </pic:spPr>
                </pic:pic>
              </a:graphicData>
            </a:graphic>
          </wp:inline>
        </w:drawing>
      </w:r>
    </w:p>
    <w:p w:rsidR="00EF6B10" w:rsidRPr="00EF6B10" w:rsidRDefault="00EF6B10" w:rsidP="003B2861">
      <w:pPr>
        <w:widowControl w:val="0"/>
        <w:spacing w:after="120"/>
        <w:jc w:val="center"/>
        <w:rPr>
          <w:sz w:val="22"/>
          <w:szCs w:val="22"/>
        </w:rPr>
      </w:pPr>
      <w:bookmarkStart w:id="75" w:name="_Ref485728489"/>
      <w:r w:rsidRPr="00EF6B10">
        <w:rPr>
          <w:b/>
          <w:sz w:val="22"/>
          <w:szCs w:val="22"/>
        </w:rPr>
        <w:t xml:space="preserve">Figure </w:t>
      </w:r>
      <w:r w:rsidRPr="00EF6B10">
        <w:rPr>
          <w:b/>
          <w:sz w:val="22"/>
          <w:szCs w:val="22"/>
        </w:rPr>
        <w:fldChar w:fldCharType="begin"/>
      </w:r>
      <w:r w:rsidRPr="00EF6B10">
        <w:rPr>
          <w:b/>
          <w:sz w:val="22"/>
          <w:szCs w:val="22"/>
        </w:rPr>
        <w:instrText xml:space="preserve"> SEQ Figure \* ARABIC </w:instrText>
      </w:r>
      <w:r w:rsidRPr="00EF6B10">
        <w:rPr>
          <w:b/>
          <w:sz w:val="22"/>
          <w:szCs w:val="22"/>
        </w:rPr>
        <w:fldChar w:fldCharType="separate"/>
      </w:r>
      <w:r w:rsidR="003E3FA4">
        <w:rPr>
          <w:b/>
          <w:noProof/>
          <w:sz w:val="22"/>
          <w:szCs w:val="22"/>
        </w:rPr>
        <w:t>8</w:t>
      </w:r>
      <w:r w:rsidRPr="00EF6B10">
        <w:rPr>
          <w:sz w:val="22"/>
          <w:szCs w:val="22"/>
        </w:rPr>
        <w:fldChar w:fldCharType="end"/>
      </w:r>
      <w:bookmarkEnd w:id="75"/>
      <w:r w:rsidRPr="00EF6B10">
        <w:rPr>
          <w:b/>
          <w:sz w:val="22"/>
          <w:szCs w:val="22"/>
        </w:rPr>
        <w:t xml:space="preserve">. </w:t>
      </w:r>
      <w:r w:rsidR="003B2861">
        <w:rPr>
          <w:b/>
          <w:sz w:val="22"/>
          <w:szCs w:val="22"/>
        </w:rPr>
        <w:t xml:space="preserve"> </w:t>
      </w:r>
      <w:r w:rsidRPr="00EF6B10">
        <w:rPr>
          <w:b/>
          <w:sz w:val="22"/>
          <w:szCs w:val="22"/>
        </w:rPr>
        <w:t xml:space="preserve">Actual </w:t>
      </w:r>
      <w:r w:rsidR="00802C3E">
        <w:rPr>
          <w:b/>
          <w:sz w:val="22"/>
          <w:szCs w:val="22"/>
        </w:rPr>
        <w:t>A</w:t>
      </w:r>
      <w:r w:rsidRPr="00EF6B10">
        <w:rPr>
          <w:b/>
          <w:sz w:val="22"/>
          <w:szCs w:val="22"/>
        </w:rPr>
        <w:t xml:space="preserve">nnual </w:t>
      </w:r>
      <w:r w:rsidR="00802C3E">
        <w:rPr>
          <w:b/>
          <w:sz w:val="22"/>
          <w:szCs w:val="22"/>
        </w:rPr>
        <w:t>E</w:t>
      </w:r>
      <w:r w:rsidRPr="00EF6B10">
        <w:rPr>
          <w:b/>
          <w:sz w:val="22"/>
          <w:szCs w:val="22"/>
        </w:rPr>
        <w:t>missions of CO, NO</w:t>
      </w:r>
      <w:r w:rsidRPr="00EF6B10">
        <w:rPr>
          <w:b/>
          <w:sz w:val="22"/>
          <w:szCs w:val="22"/>
          <w:vertAlign w:val="subscript"/>
        </w:rPr>
        <w:t>X</w:t>
      </w:r>
      <w:r w:rsidRPr="00EF6B10">
        <w:rPr>
          <w:b/>
          <w:sz w:val="22"/>
          <w:szCs w:val="22"/>
        </w:rPr>
        <w:t>, SO</w:t>
      </w:r>
      <w:r w:rsidRPr="00EF6B10">
        <w:rPr>
          <w:b/>
          <w:sz w:val="22"/>
          <w:szCs w:val="22"/>
          <w:vertAlign w:val="subscript"/>
        </w:rPr>
        <w:t>2</w:t>
      </w:r>
      <w:r w:rsidRPr="00EF6B10">
        <w:rPr>
          <w:b/>
          <w:sz w:val="22"/>
          <w:szCs w:val="22"/>
        </w:rPr>
        <w:t>, and PM in Florida from 2000 to 2016.</w:t>
      </w:r>
    </w:p>
    <w:p w:rsidR="00EF6B10" w:rsidRPr="00802C3E" w:rsidRDefault="00EF6B10" w:rsidP="00802C3E">
      <w:pPr>
        <w:pStyle w:val="ListParagraph"/>
        <w:widowControl w:val="0"/>
        <w:numPr>
          <w:ilvl w:val="2"/>
          <w:numId w:val="3"/>
        </w:numPr>
        <w:spacing w:after="120"/>
        <w:ind w:left="720" w:hanging="720"/>
        <w:contextualSpacing w:val="0"/>
        <w:rPr>
          <w:b/>
          <w:caps/>
          <w:sz w:val="22"/>
          <w:szCs w:val="22"/>
        </w:rPr>
      </w:pPr>
      <w:r w:rsidRPr="00EF6B10">
        <w:rPr>
          <w:sz w:val="22"/>
          <w:szCs w:val="22"/>
          <w:u w:val="single"/>
        </w:rPr>
        <w:t>County Level</w:t>
      </w:r>
    </w:p>
    <w:p w:rsidR="00EF6B10" w:rsidRPr="00EF6B10" w:rsidRDefault="00EF6B10" w:rsidP="00EF6B10">
      <w:pPr>
        <w:widowControl w:val="0"/>
        <w:spacing w:after="120"/>
        <w:rPr>
          <w:sz w:val="22"/>
          <w:szCs w:val="22"/>
        </w:rPr>
      </w:pPr>
      <w:r w:rsidRPr="00EF6B10">
        <w:rPr>
          <w:sz w:val="22"/>
          <w:szCs w:val="22"/>
        </w:rPr>
        <w:t xml:space="preserve">Pasco County, 2016 population of 512,368, is rural in nature near the project site. </w:t>
      </w:r>
      <w:r w:rsidR="002A0497">
        <w:rPr>
          <w:sz w:val="22"/>
          <w:szCs w:val="22"/>
        </w:rPr>
        <w:t xml:space="preserve"> </w:t>
      </w:r>
      <w:r w:rsidRPr="00EF6B10">
        <w:rPr>
          <w:sz w:val="22"/>
          <w:szCs w:val="22"/>
        </w:rPr>
        <w:t xml:space="preserve">The nearest city to the project site is New Port Richey, about 2 km </w:t>
      </w:r>
      <w:r w:rsidR="003260CF">
        <w:rPr>
          <w:sz w:val="22"/>
          <w:szCs w:val="22"/>
        </w:rPr>
        <w:t>southwest</w:t>
      </w:r>
      <w:r w:rsidRPr="00EF6B10">
        <w:rPr>
          <w:sz w:val="22"/>
          <w:szCs w:val="22"/>
        </w:rPr>
        <w:t xml:space="preserve"> of the project site, with a population of approximately 16,000. </w:t>
      </w:r>
      <w:r w:rsidR="00C065F9">
        <w:rPr>
          <w:sz w:val="22"/>
          <w:szCs w:val="22"/>
        </w:rPr>
        <w:t xml:space="preserve"> </w:t>
      </w:r>
      <w:r w:rsidR="00802C3E" w:rsidRPr="00802C3E">
        <w:rPr>
          <w:rFonts w:ascii="Times New Roman Bold" w:hAnsi="Times New Roman Bold"/>
          <w:b/>
          <w:sz w:val="22"/>
          <w:szCs w:val="22"/>
        </w:rPr>
        <w:fldChar w:fldCharType="begin"/>
      </w:r>
      <w:r w:rsidR="00802C3E" w:rsidRPr="00802C3E">
        <w:rPr>
          <w:rFonts w:ascii="Times New Roman Bold" w:hAnsi="Times New Roman Bold"/>
          <w:b/>
          <w:sz w:val="22"/>
          <w:szCs w:val="22"/>
        </w:rPr>
        <w:instrText xml:space="preserve"> REF _Ref513625493 \h </w:instrText>
      </w:r>
      <w:r w:rsidR="00802C3E">
        <w:rPr>
          <w:rFonts w:ascii="Times New Roman Bold" w:hAnsi="Times New Roman Bold"/>
          <w:b/>
          <w:sz w:val="22"/>
          <w:szCs w:val="22"/>
        </w:rPr>
        <w:instrText xml:space="preserve"> \* MERGEFORMAT </w:instrText>
      </w:r>
      <w:r w:rsidR="00802C3E" w:rsidRPr="00802C3E">
        <w:rPr>
          <w:rFonts w:ascii="Times New Roman Bold" w:hAnsi="Times New Roman Bold"/>
          <w:b/>
          <w:sz w:val="22"/>
          <w:szCs w:val="22"/>
        </w:rPr>
      </w:r>
      <w:r w:rsidR="00802C3E" w:rsidRPr="00802C3E">
        <w:rPr>
          <w:rFonts w:ascii="Times New Roman Bold" w:hAnsi="Times New Roman Bold"/>
          <w:b/>
          <w:sz w:val="22"/>
          <w:szCs w:val="22"/>
        </w:rPr>
        <w:fldChar w:fldCharType="separate"/>
      </w:r>
      <w:r w:rsidR="00802C3E" w:rsidRPr="00802C3E">
        <w:rPr>
          <w:rFonts w:ascii="Times New Roman Bold" w:hAnsi="Times New Roman Bold"/>
          <w:b/>
          <w:sz w:val="22"/>
        </w:rPr>
        <w:t xml:space="preserve">Table </w:t>
      </w:r>
      <w:r w:rsidR="00802C3E" w:rsidRPr="00802C3E">
        <w:rPr>
          <w:rFonts w:ascii="Times New Roman Bold" w:hAnsi="Times New Roman Bold"/>
          <w:b/>
          <w:noProof/>
          <w:sz w:val="22"/>
        </w:rPr>
        <w:t>17</w:t>
      </w:r>
      <w:r w:rsidR="00802C3E" w:rsidRPr="00802C3E">
        <w:rPr>
          <w:rFonts w:ascii="Times New Roman Bold" w:hAnsi="Times New Roman Bold"/>
          <w:b/>
          <w:sz w:val="22"/>
          <w:szCs w:val="22"/>
        </w:rPr>
        <w:fldChar w:fldCharType="end"/>
      </w:r>
      <w:r w:rsidR="00802C3E">
        <w:rPr>
          <w:sz w:val="22"/>
          <w:szCs w:val="22"/>
        </w:rPr>
        <w:t xml:space="preserve"> </w:t>
      </w:r>
      <w:r w:rsidRPr="00EF6B10">
        <w:rPr>
          <w:sz w:val="22"/>
          <w:szCs w:val="22"/>
        </w:rPr>
        <w:t>includes emissions of CO, NO</w:t>
      </w:r>
      <w:r w:rsidRPr="00EF6B10">
        <w:rPr>
          <w:sz w:val="22"/>
          <w:szCs w:val="22"/>
          <w:vertAlign w:val="subscript"/>
        </w:rPr>
        <w:t>X</w:t>
      </w:r>
      <w:r w:rsidRPr="00EF6B10">
        <w:rPr>
          <w:sz w:val="22"/>
          <w:szCs w:val="22"/>
        </w:rPr>
        <w:t>, SO</w:t>
      </w:r>
      <w:r w:rsidRPr="00EF6B10">
        <w:rPr>
          <w:sz w:val="22"/>
          <w:szCs w:val="22"/>
          <w:vertAlign w:val="subscript"/>
        </w:rPr>
        <w:t>2</w:t>
      </w:r>
      <w:r w:rsidRPr="00EF6B10">
        <w:rPr>
          <w:sz w:val="22"/>
          <w:szCs w:val="22"/>
        </w:rPr>
        <w:t xml:space="preserve">, and PM from stationary sources in Pasco County in 2007 and 2016. </w:t>
      </w:r>
      <w:r w:rsidR="003260CF">
        <w:rPr>
          <w:sz w:val="22"/>
          <w:szCs w:val="22"/>
        </w:rPr>
        <w:t xml:space="preserve"> </w:t>
      </w:r>
      <w:r w:rsidRPr="00EF6B10">
        <w:rPr>
          <w:sz w:val="22"/>
          <w:szCs w:val="22"/>
        </w:rPr>
        <w:t>Emissions of these pollutants in the county have decreased significantly, even more than the trend in statewide stationary source emissions.</w:t>
      </w:r>
    </w:p>
    <w:p w:rsidR="00C065F9" w:rsidRDefault="00802C3E" w:rsidP="00802C3E">
      <w:pPr>
        <w:pStyle w:val="Caption"/>
        <w:spacing w:before="0"/>
        <w:jc w:val="center"/>
      </w:pPr>
      <w:bookmarkStart w:id="76" w:name="_Ref513625493"/>
      <w:r>
        <w:t xml:space="preserve">Table </w:t>
      </w:r>
      <w:fldSimple w:instr=" SEQ Table \* ARABIC ">
        <w:r w:rsidR="007204D0">
          <w:rPr>
            <w:noProof/>
          </w:rPr>
          <w:t>17</w:t>
        </w:r>
      </w:fldSimple>
      <w:bookmarkEnd w:id="76"/>
      <w:r>
        <w:t xml:space="preserve"> - </w:t>
      </w:r>
      <w:r w:rsidR="00C065F9" w:rsidRPr="00C065F9">
        <w:t>Actual annual emissions of CO, NO</w:t>
      </w:r>
      <w:r w:rsidR="00C065F9" w:rsidRPr="00802C3E">
        <w:rPr>
          <w:vertAlign w:val="subscript"/>
        </w:rPr>
        <w:t>X</w:t>
      </w:r>
      <w:r w:rsidR="00C065F9" w:rsidRPr="00C065F9">
        <w:t>, SO</w:t>
      </w:r>
      <w:r w:rsidR="00C065F9" w:rsidRPr="00C065F9">
        <w:rPr>
          <w:vertAlign w:val="subscript"/>
        </w:rPr>
        <w:t>2</w:t>
      </w:r>
      <w:r w:rsidR="00C065F9" w:rsidRPr="00C065F9">
        <w:t xml:space="preserve">, and pm by stationary </w:t>
      </w:r>
      <w:r>
        <w:t>sources in PASCO county, Florid</w:t>
      </w:r>
      <w:r w:rsidR="00C065F9" w:rsidRPr="00C065F9">
        <w:t>.</w:t>
      </w:r>
    </w:p>
    <w:tbl>
      <w:tblPr>
        <w:tblStyle w:val="TableGrid"/>
        <w:tblW w:w="4397" w:type="pct"/>
        <w:jc w:val="center"/>
        <w:tblBorders>
          <w:top w:val="single" w:sz="8" w:space="0" w:color="auto"/>
          <w:left w:val="single" w:sz="8" w:space="0" w:color="auto"/>
          <w:insideH w:val="single" w:sz="8" w:space="0" w:color="auto"/>
          <w:insideV w:val="single" w:sz="8" w:space="0" w:color="auto"/>
        </w:tblBorders>
        <w:tblLook w:val="04A0" w:firstRow="1" w:lastRow="0" w:firstColumn="1" w:lastColumn="0" w:noHBand="0" w:noVBand="1"/>
      </w:tblPr>
      <w:tblGrid>
        <w:gridCol w:w="1361"/>
        <w:gridCol w:w="2847"/>
        <w:gridCol w:w="2848"/>
        <w:gridCol w:w="1655"/>
      </w:tblGrid>
      <w:tr w:rsidR="00DB7FB2" w:rsidRPr="00FF09C8" w:rsidTr="006C1F9A">
        <w:trPr>
          <w:jc w:val="center"/>
        </w:trPr>
        <w:tc>
          <w:tcPr>
            <w:tcW w:w="781" w:type="pct"/>
            <w:tcBorders>
              <w:top w:val="single" w:sz="12" w:space="0" w:color="auto"/>
              <w:left w:val="single" w:sz="12" w:space="0" w:color="auto"/>
              <w:bottom w:val="single" w:sz="12" w:space="0" w:color="auto"/>
            </w:tcBorders>
            <w:shd w:val="clear" w:color="auto" w:fill="B8CCE4"/>
          </w:tcPr>
          <w:p w:rsidR="00DB7FB2" w:rsidRPr="00FF09C8" w:rsidRDefault="00DB7FB2" w:rsidP="00C07663">
            <w:pPr>
              <w:jc w:val="center"/>
              <w:rPr>
                <w:b/>
              </w:rPr>
            </w:pPr>
            <w:r w:rsidRPr="00FF09C8">
              <w:rPr>
                <w:b/>
              </w:rPr>
              <w:t>Pollutant</w:t>
            </w:r>
          </w:p>
        </w:tc>
        <w:tc>
          <w:tcPr>
            <w:tcW w:w="1634" w:type="pct"/>
            <w:tcBorders>
              <w:top w:val="single" w:sz="12" w:space="0" w:color="auto"/>
              <w:bottom w:val="single" w:sz="12" w:space="0" w:color="auto"/>
            </w:tcBorders>
            <w:shd w:val="clear" w:color="auto" w:fill="B8CCE4"/>
          </w:tcPr>
          <w:p w:rsidR="00DB7FB2" w:rsidRPr="00FF09C8" w:rsidRDefault="00DB7FB2" w:rsidP="00C07663">
            <w:pPr>
              <w:jc w:val="center"/>
              <w:rPr>
                <w:b/>
              </w:rPr>
            </w:pPr>
            <w:r w:rsidRPr="00FF09C8">
              <w:rPr>
                <w:b/>
              </w:rPr>
              <w:t>200</w:t>
            </w:r>
            <w:r>
              <w:rPr>
                <w:b/>
              </w:rPr>
              <w:t>7</w:t>
            </w:r>
            <w:r w:rsidRPr="00FF09C8">
              <w:rPr>
                <w:b/>
              </w:rPr>
              <w:t xml:space="preserve"> Actual Emissions (TPY)</w:t>
            </w:r>
          </w:p>
        </w:tc>
        <w:tc>
          <w:tcPr>
            <w:tcW w:w="1635" w:type="pct"/>
            <w:tcBorders>
              <w:top w:val="single" w:sz="12" w:space="0" w:color="auto"/>
              <w:bottom w:val="single" w:sz="12" w:space="0" w:color="auto"/>
            </w:tcBorders>
            <w:shd w:val="clear" w:color="auto" w:fill="B8CCE4"/>
          </w:tcPr>
          <w:p w:rsidR="00DB7FB2" w:rsidRPr="00FF09C8" w:rsidRDefault="00DB7FB2" w:rsidP="00C07663">
            <w:pPr>
              <w:jc w:val="center"/>
              <w:rPr>
                <w:b/>
              </w:rPr>
            </w:pPr>
            <w:r w:rsidRPr="00FF09C8">
              <w:rPr>
                <w:b/>
              </w:rPr>
              <w:t>201</w:t>
            </w:r>
            <w:r>
              <w:rPr>
                <w:b/>
              </w:rPr>
              <w:t>6</w:t>
            </w:r>
            <w:r w:rsidRPr="00FF09C8">
              <w:rPr>
                <w:b/>
              </w:rPr>
              <w:t xml:space="preserve"> Actual Emissions (TPY)</w:t>
            </w:r>
          </w:p>
        </w:tc>
        <w:tc>
          <w:tcPr>
            <w:tcW w:w="950" w:type="pct"/>
            <w:tcBorders>
              <w:top w:val="single" w:sz="12" w:space="0" w:color="auto"/>
              <w:bottom w:val="single" w:sz="12" w:space="0" w:color="auto"/>
              <w:right w:val="single" w:sz="12" w:space="0" w:color="auto"/>
            </w:tcBorders>
            <w:shd w:val="clear" w:color="auto" w:fill="B8CCE4"/>
          </w:tcPr>
          <w:p w:rsidR="00DB7FB2" w:rsidRPr="00FF09C8" w:rsidRDefault="00DB7FB2" w:rsidP="00C07663">
            <w:pPr>
              <w:jc w:val="center"/>
              <w:rPr>
                <w:b/>
              </w:rPr>
            </w:pPr>
            <w:r w:rsidRPr="00FF09C8">
              <w:rPr>
                <w:b/>
              </w:rPr>
              <w:t>Percent Change</w:t>
            </w:r>
          </w:p>
        </w:tc>
      </w:tr>
      <w:tr w:rsidR="00DB7FB2" w:rsidRPr="00FF09C8" w:rsidTr="006C1F9A">
        <w:trPr>
          <w:trHeight w:val="232"/>
          <w:jc w:val="center"/>
        </w:trPr>
        <w:tc>
          <w:tcPr>
            <w:tcW w:w="781" w:type="pct"/>
            <w:tcBorders>
              <w:top w:val="single" w:sz="12" w:space="0" w:color="auto"/>
              <w:left w:val="single" w:sz="12" w:space="0" w:color="auto"/>
            </w:tcBorders>
            <w:shd w:val="clear" w:color="auto" w:fill="auto"/>
          </w:tcPr>
          <w:p w:rsidR="00DB7FB2" w:rsidRPr="00FF09C8" w:rsidRDefault="00DB7FB2" w:rsidP="00C07663">
            <w:pPr>
              <w:jc w:val="center"/>
              <w:rPr>
                <w:b/>
              </w:rPr>
            </w:pPr>
            <w:r>
              <w:rPr>
                <w:b/>
              </w:rPr>
              <w:t>CO</w:t>
            </w:r>
          </w:p>
        </w:tc>
        <w:tc>
          <w:tcPr>
            <w:tcW w:w="1634" w:type="pct"/>
            <w:tcBorders>
              <w:top w:val="single" w:sz="12" w:space="0" w:color="auto"/>
            </w:tcBorders>
          </w:tcPr>
          <w:p w:rsidR="00DB7FB2" w:rsidRPr="00EF7406" w:rsidRDefault="00DB7FB2" w:rsidP="00C07663">
            <w:pPr>
              <w:jc w:val="center"/>
              <w:rPr>
                <w:color w:val="000000"/>
              </w:rPr>
            </w:pPr>
            <w:r>
              <w:rPr>
                <w:color w:val="000000"/>
              </w:rPr>
              <w:t>718.5</w:t>
            </w:r>
          </w:p>
        </w:tc>
        <w:tc>
          <w:tcPr>
            <w:tcW w:w="1635" w:type="pct"/>
            <w:tcBorders>
              <w:top w:val="single" w:sz="12" w:space="0" w:color="auto"/>
            </w:tcBorders>
          </w:tcPr>
          <w:p w:rsidR="00DB7FB2" w:rsidRPr="00EF7406" w:rsidRDefault="00DB7FB2" w:rsidP="00C07663">
            <w:pPr>
              <w:jc w:val="center"/>
              <w:rPr>
                <w:color w:val="000000"/>
              </w:rPr>
            </w:pPr>
            <w:r>
              <w:rPr>
                <w:color w:val="000000"/>
              </w:rPr>
              <w:t>211.7</w:t>
            </w:r>
          </w:p>
        </w:tc>
        <w:tc>
          <w:tcPr>
            <w:tcW w:w="950" w:type="pct"/>
            <w:tcBorders>
              <w:top w:val="single" w:sz="12" w:space="0" w:color="auto"/>
              <w:right w:val="single" w:sz="12" w:space="0" w:color="auto"/>
            </w:tcBorders>
          </w:tcPr>
          <w:p w:rsidR="00DB7FB2" w:rsidRPr="00FF09C8" w:rsidRDefault="00DB7FB2" w:rsidP="00C07663">
            <w:pPr>
              <w:jc w:val="center"/>
            </w:pPr>
            <w:r>
              <w:t>-70.5%</w:t>
            </w:r>
          </w:p>
        </w:tc>
      </w:tr>
      <w:tr w:rsidR="00DB7FB2" w:rsidRPr="00FF09C8" w:rsidTr="006C1F9A">
        <w:trPr>
          <w:trHeight w:val="232"/>
          <w:jc w:val="center"/>
        </w:trPr>
        <w:tc>
          <w:tcPr>
            <w:tcW w:w="781" w:type="pct"/>
            <w:tcBorders>
              <w:left w:val="single" w:sz="12" w:space="0" w:color="auto"/>
            </w:tcBorders>
            <w:shd w:val="clear" w:color="auto" w:fill="auto"/>
          </w:tcPr>
          <w:p w:rsidR="00DB7FB2" w:rsidRDefault="00DB7FB2" w:rsidP="00C07663">
            <w:pPr>
              <w:jc w:val="center"/>
              <w:rPr>
                <w:b/>
              </w:rPr>
            </w:pPr>
            <w:r>
              <w:rPr>
                <w:b/>
              </w:rPr>
              <w:t>NO</w:t>
            </w:r>
            <w:r w:rsidRPr="00C516F5">
              <w:rPr>
                <w:b/>
                <w:vertAlign w:val="subscript"/>
              </w:rPr>
              <w:t>X</w:t>
            </w:r>
          </w:p>
        </w:tc>
        <w:tc>
          <w:tcPr>
            <w:tcW w:w="1634" w:type="pct"/>
          </w:tcPr>
          <w:p w:rsidR="00DB7FB2" w:rsidRDefault="00DB7FB2" w:rsidP="00C07663">
            <w:pPr>
              <w:jc w:val="center"/>
              <w:rPr>
                <w:color w:val="000000"/>
              </w:rPr>
            </w:pPr>
            <w:r>
              <w:rPr>
                <w:color w:val="000000"/>
              </w:rPr>
              <w:t>7,221.0</w:t>
            </w:r>
          </w:p>
        </w:tc>
        <w:tc>
          <w:tcPr>
            <w:tcW w:w="1635" w:type="pct"/>
          </w:tcPr>
          <w:p w:rsidR="00DB7FB2" w:rsidRDefault="00DB7FB2" w:rsidP="00C07663">
            <w:pPr>
              <w:jc w:val="center"/>
              <w:rPr>
                <w:color w:val="000000"/>
              </w:rPr>
            </w:pPr>
            <w:r>
              <w:rPr>
                <w:color w:val="000000"/>
              </w:rPr>
              <w:t>3,590.7</w:t>
            </w:r>
          </w:p>
        </w:tc>
        <w:tc>
          <w:tcPr>
            <w:tcW w:w="950" w:type="pct"/>
            <w:tcBorders>
              <w:right w:val="single" w:sz="12" w:space="0" w:color="auto"/>
            </w:tcBorders>
          </w:tcPr>
          <w:p w:rsidR="00DB7FB2" w:rsidRDefault="00DB7FB2" w:rsidP="00C07663">
            <w:pPr>
              <w:jc w:val="center"/>
            </w:pPr>
            <w:r>
              <w:t>-50.3%</w:t>
            </w:r>
          </w:p>
        </w:tc>
      </w:tr>
      <w:tr w:rsidR="00DB7FB2" w:rsidRPr="00FF09C8" w:rsidTr="006C1F9A">
        <w:trPr>
          <w:trHeight w:val="232"/>
          <w:jc w:val="center"/>
        </w:trPr>
        <w:tc>
          <w:tcPr>
            <w:tcW w:w="781" w:type="pct"/>
            <w:tcBorders>
              <w:left w:val="single" w:sz="12" w:space="0" w:color="auto"/>
            </w:tcBorders>
            <w:shd w:val="clear" w:color="auto" w:fill="auto"/>
          </w:tcPr>
          <w:p w:rsidR="00DB7FB2" w:rsidRDefault="00DB7FB2" w:rsidP="00C07663">
            <w:pPr>
              <w:jc w:val="center"/>
              <w:rPr>
                <w:b/>
              </w:rPr>
            </w:pPr>
            <w:r>
              <w:rPr>
                <w:b/>
              </w:rPr>
              <w:t>SO</w:t>
            </w:r>
            <w:r w:rsidRPr="00C516F5">
              <w:rPr>
                <w:b/>
                <w:vertAlign w:val="subscript"/>
              </w:rPr>
              <w:t>2</w:t>
            </w:r>
          </w:p>
        </w:tc>
        <w:tc>
          <w:tcPr>
            <w:tcW w:w="1634" w:type="pct"/>
          </w:tcPr>
          <w:p w:rsidR="00DB7FB2" w:rsidRDefault="00DB7FB2" w:rsidP="00C07663">
            <w:pPr>
              <w:jc w:val="center"/>
              <w:rPr>
                <w:color w:val="000000"/>
              </w:rPr>
            </w:pPr>
            <w:r>
              <w:rPr>
                <w:color w:val="000000"/>
              </w:rPr>
              <w:t>27,077.3</w:t>
            </w:r>
          </w:p>
        </w:tc>
        <w:tc>
          <w:tcPr>
            <w:tcW w:w="1635" w:type="pct"/>
          </w:tcPr>
          <w:p w:rsidR="00DB7FB2" w:rsidRDefault="00DB7FB2" w:rsidP="00C07663">
            <w:pPr>
              <w:jc w:val="center"/>
              <w:rPr>
                <w:color w:val="000000"/>
              </w:rPr>
            </w:pPr>
            <w:r>
              <w:rPr>
                <w:color w:val="000000"/>
              </w:rPr>
              <w:t>44.5</w:t>
            </w:r>
          </w:p>
        </w:tc>
        <w:tc>
          <w:tcPr>
            <w:tcW w:w="950" w:type="pct"/>
            <w:tcBorders>
              <w:right w:val="single" w:sz="12" w:space="0" w:color="auto"/>
            </w:tcBorders>
          </w:tcPr>
          <w:p w:rsidR="00DB7FB2" w:rsidRDefault="00DB7FB2" w:rsidP="00C07663">
            <w:pPr>
              <w:jc w:val="center"/>
            </w:pPr>
            <w:r>
              <w:t>-99.8%</w:t>
            </w:r>
          </w:p>
        </w:tc>
      </w:tr>
      <w:tr w:rsidR="00DB7FB2" w:rsidRPr="00FF09C8" w:rsidTr="006C1F9A">
        <w:trPr>
          <w:trHeight w:val="232"/>
          <w:jc w:val="center"/>
        </w:trPr>
        <w:tc>
          <w:tcPr>
            <w:tcW w:w="781" w:type="pct"/>
            <w:tcBorders>
              <w:left w:val="single" w:sz="12" w:space="0" w:color="auto"/>
              <w:bottom w:val="single" w:sz="12" w:space="0" w:color="auto"/>
            </w:tcBorders>
            <w:shd w:val="clear" w:color="auto" w:fill="auto"/>
          </w:tcPr>
          <w:p w:rsidR="00DB7FB2" w:rsidRDefault="00DB7FB2" w:rsidP="00C07663">
            <w:pPr>
              <w:jc w:val="center"/>
              <w:rPr>
                <w:b/>
              </w:rPr>
            </w:pPr>
            <w:r>
              <w:rPr>
                <w:b/>
              </w:rPr>
              <w:t>PM</w:t>
            </w:r>
          </w:p>
        </w:tc>
        <w:tc>
          <w:tcPr>
            <w:tcW w:w="1634" w:type="pct"/>
            <w:tcBorders>
              <w:bottom w:val="single" w:sz="12" w:space="0" w:color="auto"/>
            </w:tcBorders>
          </w:tcPr>
          <w:p w:rsidR="00DB7FB2" w:rsidRDefault="00DB7FB2" w:rsidP="00C07663">
            <w:pPr>
              <w:jc w:val="center"/>
              <w:rPr>
                <w:color w:val="000000"/>
              </w:rPr>
            </w:pPr>
            <w:r>
              <w:rPr>
                <w:color w:val="000000"/>
              </w:rPr>
              <w:t>993.3</w:t>
            </w:r>
          </w:p>
        </w:tc>
        <w:tc>
          <w:tcPr>
            <w:tcW w:w="1635" w:type="pct"/>
            <w:tcBorders>
              <w:bottom w:val="single" w:sz="12" w:space="0" w:color="auto"/>
            </w:tcBorders>
          </w:tcPr>
          <w:p w:rsidR="00DB7FB2" w:rsidRDefault="00DB7FB2" w:rsidP="00C07663">
            <w:pPr>
              <w:jc w:val="center"/>
              <w:rPr>
                <w:color w:val="000000"/>
              </w:rPr>
            </w:pPr>
            <w:r>
              <w:rPr>
                <w:color w:val="000000"/>
              </w:rPr>
              <w:t>189.0</w:t>
            </w:r>
          </w:p>
        </w:tc>
        <w:tc>
          <w:tcPr>
            <w:tcW w:w="950" w:type="pct"/>
            <w:tcBorders>
              <w:bottom w:val="single" w:sz="12" w:space="0" w:color="auto"/>
              <w:right w:val="single" w:sz="12" w:space="0" w:color="auto"/>
            </w:tcBorders>
          </w:tcPr>
          <w:p w:rsidR="00DB7FB2" w:rsidRDefault="00DB7FB2" w:rsidP="00C07663">
            <w:pPr>
              <w:jc w:val="center"/>
            </w:pPr>
            <w:r>
              <w:t>-81.0%</w:t>
            </w:r>
          </w:p>
        </w:tc>
      </w:tr>
    </w:tbl>
    <w:p w:rsidR="00EF6B10" w:rsidRPr="00802C3E" w:rsidRDefault="00EF6B10" w:rsidP="00802C3E">
      <w:pPr>
        <w:pStyle w:val="ListParagraph"/>
        <w:widowControl w:val="0"/>
        <w:numPr>
          <w:ilvl w:val="2"/>
          <w:numId w:val="3"/>
        </w:numPr>
        <w:spacing w:before="120" w:after="120"/>
        <w:ind w:left="720" w:hanging="720"/>
        <w:contextualSpacing w:val="0"/>
        <w:rPr>
          <w:b/>
          <w:caps/>
          <w:sz w:val="22"/>
          <w:szCs w:val="22"/>
        </w:rPr>
      </w:pPr>
      <w:r w:rsidRPr="00EF6B10">
        <w:rPr>
          <w:sz w:val="22"/>
          <w:szCs w:val="22"/>
          <w:u w:val="single"/>
        </w:rPr>
        <w:t>Nearby Sources</w:t>
      </w:r>
    </w:p>
    <w:p w:rsidR="003260CF" w:rsidRDefault="00EF6B10" w:rsidP="00EF6B10">
      <w:pPr>
        <w:widowControl w:val="0"/>
        <w:spacing w:after="120"/>
        <w:rPr>
          <w:sz w:val="22"/>
          <w:szCs w:val="22"/>
        </w:rPr>
      </w:pPr>
      <w:r w:rsidRPr="00EF6B10">
        <w:rPr>
          <w:sz w:val="22"/>
          <w:szCs w:val="22"/>
        </w:rPr>
        <w:t xml:space="preserve">Pasco County contains few significant stationary sources of air pollutants. </w:t>
      </w:r>
      <w:r w:rsidR="002A0497">
        <w:rPr>
          <w:sz w:val="22"/>
          <w:szCs w:val="22"/>
        </w:rPr>
        <w:t xml:space="preserve"> </w:t>
      </w:r>
      <w:r w:rsidRPr="00EF6B10">
        <w:rPr>
          <w:sz w:val="22"/>
          <w:szCs w:val="22"/>
        </w:rPr>
        <w:t>Most existing sources within Pasco County are generally very small and outside of population centers, providing for clean ambient air.</w:t>
      </w:r>
      <w:r w:rsidR="00460F32">
        <w:rPr>
          <w:sz w:val="22"/>
          <w:szCs w:val="22"/>
        </w:rPr>
        <w:t xml:space="preserve"> </w:t>
      </w:r>
      <w:r w:rsidRPr="00EF6B10">
        <w:rPr>
          <w:sz w:val="22"/>
          <w:szCs w:val="22"/>
        </w:rPr>
        <w:t xml:space="preserve"> </w:t>
      </w:r>
      <w:r w:rsidR="00802C3E" w:rsidRPr="00802C3E">
        <w:rPr>
          <w:rFonts w:ascii="Times New Roman Bold" w:hAnsi="Times New Roman Bold"/>
          <w:b/>
          <w:sz w:val="22"/>
          <w:szCs w:val="22"/>
        </w:rPr>
        <w:fldChar w:fldCharType="begin"/>
      </w:r>
      <w:r w:rsidR="00802C3E" w:rsidRPr="00802C3E">
        <w:rPr>
          <w:rFonts w:ascii="Times New Roman Bold" w:hAnsi="Times New Roman Bold"/>
          <w:b/>
          <w:sz w:val="22"/>
          <w:szCs w:val="22"/>
        </w:rPr>
        <w:instrText xml:space="preserve"> REF _Ref513625603 \h </w:instrText>
      </w:r>
      <w:r w:rsidR="00802C3E">
        <w:rPr>
          <w:rFonts w:ascii="Times New Roman Bold" w:hAnsi="Times New Roman Bold"/>
          <w:b/>
          <w:sz w:val="22"/>
          <w:szCs w:val="22"/>
        </w:rPr>
        <w:instrText xml:space="preserve"> \* MERGEFORMAT </w:instrText>
      </w:r>
      <w:r w:rsidR="00802C3E" w:rsidRPr="00802C3E">
        <w:rPr>
          <w:rFonts w:ascii="Times New Roman Bold" w:hAnsi="Times New Roman Bold"/>
          <w:b/>
          <w:sz w:val="22"/>
          <w:szCs w:val="22"/>
        </w:rPr>
      </w:r>
      <w:r w:rsidR="00802C3E" w:rsidRPr="00802C3E">
        <w:rPr>
          <w:rFonts w:ascii="Times New Roman Bold" w:hAnsi="Times New Roman Bold"/>
          <w:b/>
          <w:sz w:val="22"/>
          <w:szCs w:val="22"/>
        </w:rPr>
        <w:fldChar w:fldCharType="separate"/>
      </w:r>
      <w:r w:rsidR="00802C3E" w:rsidRPr="00802C3E">
        <w:rPr>
          <w:rFonts w:ascii="Times New Roman Bold" w:hAnsi="Times New Roman Bold"/>
          <w:b/>
          <w:sz w:val="22"/>
        </w:rPr>
        <w:t xml:space="preserve">Table </w:t>
      </w:r>
      <w:r w:rsidR="00802C3E" w:rsidRPr="00802C3E">
        <w:rPr>
          <w:rFonts w:ascii="Times New Roman Bold" w:hAnsi="Times New Roman Bold"/>
          <w:b/>
          <w:noProof/>
          <w:sz w:val="22"/>
        </w:rPr>
        <w:t>18</w:t>
      </w:r>
      <w:r w:rsidR="00802C3E" w:rsidRPr="00802C3E">
        <w:rPr>
          <w:rFonts w:ascii="Times New Roman Bold" w:hAnsi="Times New Roman Bold"/>
          <w:b/>
          <w:sz w:val="22"/>
          <w:szCs w:val="22"/>
        </w:rPr>
        <w:fldChar w:fldCharType="end"/>
      </w:r>
      <w:r w:rsidR="00802C3E">
        <w:rPr>
          <w:sz w:val="22"/>
          <w:szCs w:val="22"/>
        </w:rPr>
        <w:t xml:space="preserve"> </w:t>
      </w:r>
      <w:r w:rsidRPr="00EF6B10">
        <w:rPr>
          <w:sz w:val="22"/>
          <w:szCs w:val="22"/>
        </w:rPr>
        <w:t>provides some perspective on the relative size of the project and nearby sources by comparing its maximum potential future emissions of CO, NO</w:t>
      </w:r>
      <w:r w:rsidRPr="00EF6B10">
        <w:rPr>
          <w:sz w:val="22"/>
          <w:szCs w:val="22"/>
          <w:vertAlign w:val="subscript"/>
        </w:rPr>
        <w:t>X</w:t>
      </w:r>
      <w:r w:rsidRPr="00EF6B10">
        <w:rPr>
          <w:sz w:val="22"/>
          <w:szCs w:val="22"/>
        </w:rPr>
        <w:t>, SO</w:t>
      </w:r>
      <w:r w:rsidRPr="00EF6B10">
        <w:rPr>
          <w:sz w:val="22"/>
          <w:szCs w:val="22"/>
          <w:vertAlign w:val="subscript"/>
        </w:rPr>
        <w:t>2</w:t>
      </w:r>
      <w:r w:rsidRPr="00EF6B10">
        <w:rPr>
          <w:sz w:val="22"/>
          <w:szCs w:val="22"/>
        </w:rPr>
        <w:t>, and PM with the actual 2016 emissions from the five largest sources of each pollutant within 50 km (</w:t>
      </w:r>
      <w:r w:rsidR="00802C3E">
        <w:rPr>
          <w:sz w:val="22"/>
          <w:szCs w:val="22"/>
        </w:rPr>
        <w:t xml:space="preserve">see </w:t>
      </w:r>
      <w:r w:rsidRPr="00EF6B10">
        <w:rPr>
          <w:b/>
          <w:sz w:val="22"/>
          <w:szCs w:val="22"/>
        </w:rPr>
        <w:fldChar w:fldCharType="begin"/>
      </w:r>
      <w:r w:rsidRPr="00EF6B10">
        <w:rPr>
          <w:b/>
          <w:sz w:val="22"/>
          <w:szCs w:val="22"/>
        </w:rPr>
        <w:instrText xml:space="preserve"> REF _Ref485728699 \h  \* MERGEFORMAT </w:instrText>
      </w:r>
      <w:r w:rsidRPr="00EF6B10">
        <w:rPr>
          <w:b/>
          <w:sz w:val="22"/>
          <w:szCs w:val="22"/>
        </w:rPr>
      </w:r>
      <w:r w:rsidRPr="00EF6B10">
        <w:rPr>
          <w:b/>
          <w:sz w:val="22"/>
          <w:szCs w:val="22"/>
        </w:rPr>
        <w:fldChar w:fldCharType="separate"/>
      </w:r>
      <w:r w:rsidR="003E3FA4" w:rsidRPr="00EF6B10">
        <w:rPr>
          <w:b/>
          <w:sz w:val="22"/>
          <w:szCs w:val="22"/>
        </w:rPr>
        <w:t xml:space="preserve">Figure </w:t>
      </w:r>
      <w:r w:rsidR="003E3FA4">
        <w:rPr>
          <w:b/>
          <w:sz w:val="22"/>
          <w:szCs w:val="22"/>
        </w:rPr>
        <w:t>9</w:t>
      </w:r>
      <w:r w:rsidRPr="00EF6B10">
        <w:rPr>
          <w:sz w:val="22"/>
          <w:szCs w:val="22"/>
        </w:rPr>
        <w:fldChar w:fldCharType="end"/>
      </w:r>
      <w:r w:rsidRPr="00EF6B10">
        <w:rPr>
          <w:sz w:val="22"/>
          <w:szCs w:val="22"/>
        </w:rPr>
        <w:t>).</w:t>
      </w:r>
    </w:p>
    <w:p w:rsidR="003260CF" w:rsidRDefault="003260CF">
      <w:pPr>
        <w:rPr>
          <w:sz w:val="22"/>
          <w:szCs w:val="22"/>
        </w:rPr>
      </w:pPr>
      <w:r>
        <w:rPr>
          <w:sz w:val="22"/>
          <w:szCs w:val="22"/>
        </w:rPr>
        <w:br w:type="page"/>
      </w:r>
    </w:p>
    <w:p w:rsidR="00EF6B10" w:rsidRPr="00802C3E" w:rsidRDefault="00802C3E" w:rsidP="003260CF">
      <w:pPr>
        <w:pStyle w:val="Caption"/>
        <w:spacing w:before="0"/>
        <w:jc w:val="center"/>
        <w:rPr>
          <w:szCs w:val="22"/>
        </w:rPr>
      </w:pPr>
      <w:bookmarkStart w:id="77" w:name="_Ref513625603"/>
      <w:r w:rsidRPr="00802C3E">
        <w:t xml:space="preserve">Table </w:t>
      </w:r>
      <w:fldSimple w:instr=" SEQ Table \* ARABIC ">
        <w:r w:rsidR="007204D0">
          <w:rPr>
            <w:noProof/>
          </w:rPr>
          <w:t>18</w:t>
        </w:r>
      </w:fldSimple>
      <w:bookmarkEnd w:id="77"/>
      <w:r w:rsidRPr="00802C3E">
        <w:t xml:space="preserve"> - </w:t>
      </w:r>
      <w:r w:rsidR="00EF6B10" w:rsidRPr="00802C3E">
        <w:rPr>
          <w:szCs w:val="22"/>
        </w:rPr>
        <w:t>ACTUAL 2016 EMISSIONS OF CO, NO</w:t>
      </w:r>
      <w:r w:rsidR="00EF6B10" w:rsidRPr="00802C3E">
        <w:rPr>
          <w:szCs w:val="22"/>
          <w:vertAlign w:val="subscript"/>
        </w:rPr>
        <w:t>X</w:t>
      </w:r>
      <w:r w:rsidR="00EF6B10" w:rsidRPr="00802C3E">
        <w:rPr>
          <w:szCs w:val="22"/>
        </w:rPr>
        <w:t>, SO</w:t>
      </w:r>
      <w:r w:rsidR="00EF6B10" w:rsidRPr="00802C3E">
        <w:rPr>
          <w:szCs w:val="22"/>
          <w:vertAlign w:val="subscript"/>
        </w:rPr>
        <w:t>2</w:t>
      </w:r>
      <w:r w:rsidR="00EF6B10" w:rsidRPr="00802C3E">
        <w:rPr>
          <w:szCs w:val="22"/>
        </w:rPr>
        <w:t>, and PM FROM THE LARGEST STATIONARY SOURCES NEAR THE PROJECT SITE</w:t>
      </w:r>
      <w:r w:rsidRPr="00802C3E">
        <w:rPr>
          <w:szCs w:val="22"/>
        </w:rPr>
        <w:t>.</w:t>
      </w:r>
    </w:p>
    <w:tbl>
      <w:tblPr>
        <w:tblStyle w:val="TableGrid"/>
        <w:tblW w:w="5134" w:type="pct"/>
        <w:tblInd w:w="-185" w:type="dxa"/>
        <w:tblBorders>
          <w:insideH w:val="none" w:sz="0" w:space="0" w:color="auto"/>
          <w:insideV w:val="none" w:sz="0" w:space="0" w:color="auto"/>
        </w:tblBorders>
        <w:tblLayout w:type="fixed"/>
        <w:tblLook w:val="04A0" w:firstRow="1" w:lastRow="0" w:firstColumn="1" w:lastColumn="0" w:noHBand="0" w:noVBand="1"/>
      </w:tblPr>
      <w:tblGrid>
        <w:gridCol w:w="3450"/>
        <w:gridCol w:w="3727"/>
        <w:gridCol w:w="1328"/>
        <w:gridCol w:w="1666"/>
      </w:tblGrid>
      <w:tr w:rsidR="00DB7FB2" w:rsidRPr="00FF09C8" w:rsidTr="00A552F9">
        <w:trPr>
          <w:trHeight w:val="681"/>
        </w:trPr>
        <w:tc>
          <w:tcPr>
            <w:tcW w:w="1696" w:type="pct"/>
            <w:tcBorders>
              <w:top w:val="single" w:sz="12" w:space="0" w:color="auto"/>
              <w:left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Owner</w:t>
            </w:r>
          </w:p>
        </w:tc>
        <w:tc>
          <w:tcPr>
            <w:tcW w:w="1832"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Facility Name</w:t>
            </w:r>
          </w:p>
        </w:tc>
        <w:tc>
          <w:tcPr>
            <w:tcW w:w="653"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County</w:t>
            </w:r>
          </w:p>
        </w:tc>
        <w:tc>
          <w:tcPr>
            <w:tcW w:w="819" w:type="pct"/>
            <w:tcBorders>
              <w:top w:val="single" w:sz="12" w:space="0" w:color="auto"/>
              <w:bottom w:val="single" w:sz="12" w:space="0" w:color="auto"/>
              <w:right w:val="single" w:sz="12" w:space="0" w:color="auto"/>
            </w:tcBorders>
            <w:shd w:val="clear" w:color="auto" w:fill="B8CCE4"/>
          </w:tcPr>
          <w:p w:rsidR="00DB7FB2" w:rsidRPr="00FF09C8" w:rsidRDefault="00DB7FB2" w:rsidP="00C07663">
            <w:pPr>
              <w:jc w:val="center"/>
              <w:rPr>
                <w:b/>
              </w:rPr>
            </w:pPr>
            <w:r>
              <w:rPr>
                <w:b/>
              </w:rPr>
              <w:t>2016</w:t>
            </w:r>
            <w:r w:rsidRPr="00FF09C8">
              <w:rPr>
                <w:b/>
              </w:rPr>
              <w:t xml:space="preserve"> </w:t>
            </w:r>
            <w:r>
              <w:rPr>
                <w:b/>
              </w:rPr>
              <w:t>CO</w:t>
            </w:r>
            <w:r w:rsidRPr="00FF09C8">
              <w:rPr>
                <w:b/>
              </w:rPr>
              <w:t xml:space="preserve"> Emissions (TPY)</w:t>
            </w:r>
          </w:p>
        </w:tc>
      </w:tr>
      <w:tr w:rsidR="00DB7FB2" w:rsidRPr="00FF09C8" w:rsidTr="00A552F9">
        <w:trPr>
          <w:trHeight w:val="329"/>
        </w:trPr>
        <w:tc>
          <w:tcPr>
            <w:tcW w:w="1696" w:type="pct"/>
            <w:tcBorders>
              <w:top w:val="single" w:sz="12" w:space="0" w:color="auto"/>
              <w:left w:val="single" w:sz="12" w:space="0" w:color="auto"/>
            </w:tcBorders>
          </w:tcPr>
          <w:p w:rsidR="00DB7FB2" w:rsidRPr="00FF09C8" w:rsidRDefault="00DB7FB2" w:rsidP="00C07663">
            <w:pPr>
              <w:jc w:val="center"/>
            </w:pPr>
            <w:r>
              <w:t>CEMEX Construction Materials Florida</w:t>
            </w:r>
          </w:p>
        </w:tc>
        <w:tc>
          <w:tcPr>
            <w:tcW w:w="1832" w:type="pct"/>
            <w:tcBorders>
              <w:top w:val="single" w:sz="12" w:space="0" w:color="auto"/>
            </w:tcBorders>
          </w:tcPr>
          <w:p w:rsidR="00DB7FB2" w:rsidRPr="00FF09C8" w:rsidRDefault="00DB7FB2" w:rsidP="00C07663">
            <w:pPr>
              <w:jc w:val="center"/>
            </w:pPr>
            <w:r>
              <w:t>CEMEX Brooksville South Cement Plant</w:t>
            </w:r>
          </w:p>
        </w:tc>
        <w:tc>
          <w:tcPr>
            <w:tcW w:w="653" w:type="pct"/>
            <w:tcBorders>
              <w:top w:val="single" w:sz="12" w:space="0" w:color="auto"/>
            </w:tcBorders>
          </w:tcPr>
          <w:p w:rsidR="00DB7FB2" w:rsidRPr="00FF09C8" w:rsidRDefault="00DB7FB2" w:rsidP="00C07663">
            <w:pPr>
              <w:jc w:val="center"/>
            </w:pPr>
            <w:r>
              <w:t>Hernando</w:t>
            </w:r>
          </w:p>
        </w:tc>
        <w:tc>
          <w:tcPr>
            <w:tcW w:w="819" w:type="pct"/>
            <w:tcBorders>
              <w:top w:val="single" w:sz="12" w:space="0" w:color="auto"/>
              <w:right w:val="single" w:sz="12" w:space="0" w:color="auto"/>
            </w:tcBorders>
          </w:tcPr>
          <w:p w:rsidR="00DB7FB2" w:rsidRPr="00FF09C8" w:rsidRDefault="00DB7FB2" w:rsidP="00C07663">
            <w:pPr>
              <w:jc w:val="center"/>
            </w:pPr>
            <w:r>
              <w:t>696.7</w:t>
            </w:r>
          </w:p>
        </w:tc>
      </w:tr>
      <w:tr w:rsidR="00DB7FB2" w:rsidRPr="00FF09C8" w:rsidTr="00A552F9">
        <w:trPr>
          <w:trHeight w:val="329"/>
        </w:trPr>
        <w:tc>
          <w:tcPr>
            <w:tcW w:w="1696" w:type="pct"/>
            <w:tcBorders>
              <w:left w:val="single" w:sz="12" w:space="0" w:color="auto"/>
            </w:tcBorders>
          </w:tcPr>
          <w:p w:rsidR="00DB7FB2" w:rsidRPr="00FF09C8" w:rsidRDefault="00DB7FB2" w:rsidP="00C07663">
            <w:pPr>
              <w:jc w:val="center"/>
            </w:pPr>
            <w:r>
              <w:t>Envirofocus Technologies</w:t>
            </w:r>
          </w:p>
        </w:tc>
        <w:tc>
          <w:tcPr>
            <w:tcW w:w="1832" w:type="pct"/>
          </w:tcPr>
          <w:p w:rsidR="00DB7FB2" w:rsidRPr="00FF09C8" w:rsidRDefault="00DB7FB2" w:rsidP="00C07663">
            <w:pPr>
              <w:jc w:val="center"/>
            </w:pPr>
            <w:r>
              <w:t>Envirofocus Technologies</w:t>
            </w:r>
          </w:p>
        </w:tc>
        <w:tc>
          <w:tcPr>
            <w:tcW w:w="653" w:type="pct"/>
          </w:tcPr>
          <w:p w:rsidR="00DB7FB2" w:rsidRPr="00FF09C8" w:rsidRDefault="00DB7FB2" w:rsidP="00C07663">
            <w:pPr>
              <w:jc w:val="center"/>
            </w:pPr>
            <w:r>
              <w:t>Hillsborough</w:t>
            </w:r>
          </w:p>
        </w:tc>
        <w:tc>
          <w:tcPr>
            <w:tcW w:w="819" w:type="pct"/>
            <w:tcBorders>
              <w:right w:val="single" w:sz="12" w:space="0" w:color="auto"/>
            </w:tcBorders>
          </w:tcPr>
          <w:p w:rsidR="00DB7FB2" w:rsidRPr="00FF09C8" w:rsidRDefault="00DB7FB2" w:rsidP="00C07663">
            <w:pPr>
              <w:jc w:val="center"/>
            </w:pPr>
            <w:r>
              <w:t>339.7</w:t>
            </w:r>
          </w:p>
        </w:tc>
      </w:tr>
      <w:tr w:rsidR="00DB7FB2" w:rsidRPr="00FF09C8" w:rsidTr="00A552F9">
        <w:trPr>
          <w:trHeight w:val="351"/>
        </w:trPr>
        <w:tc>
          <w:tcPr>
            <w:tcW w:w="1696" w:type="pct"/>
            <w:tcBorders>
              <w:left w:val="single" w:sz="12" w:space="0" w:color="auto"/>
            </w:tcBorders>
          </w:tcPr>
          <w:p w:rsidR="00DB7FB2" w:rsidRPr="00FF09C8" w:rsidRDefault="00DB7FB2" w:rsidP="00C07663">
            <w:pPr>
              <w:jc w:val="center"/>
            </w:pPr>
            <w:r>
              <w:t>Florida Power Development</w:t>
            </w:r>
          </w:p>
        </w:tc>
        <w:tc>
          <w:tcPr>
            <w:tcW w:w="1832" w:type="pct"/>
          </w:tcPr>
          <w:p w:rsidR="00DB7FB2" w:rsidRPr="00831211" w:rsidRDefault="00DB7FB2" w:rsidP="00C07663">
            <w:pPr>
              <w:jc w:val="center"/>
            </w:pPr>
            <w:r w:rsidRPr="00831211">
              <w:t>Brooksville Power Plant</w:t>
            </w:r>
          </w:p>
        </w:tc>
        <w:tc>
          <w:tcPr>
            <w:tcW w:w="653" w:type="pct"/>
          </w:tcPr>
          <w:p w:rsidR="00DB7FB2" w:rsidRPr="00FF09C8" w:rsidRDefault="00DB7FB2" w:rsidP="00C07663">
            <w:pPr>
              <w:jc w:val="center"/>
            </w:pPr>
            <w:r>
              <w:t>Hernando</w:t>
            </w:r>
          </w:p>
        </w:tc>
        <w:tc>
          <w:tcPr>
            <w:tcW w:w="819" w:type="pct"/>
            <w:tcBorders>
              <w:right w:val="single" w:sz="12" w:space="0" w:color="auto"/>
            </w:tcBorders>
          </w:tcPr>
          <w:p w:rsidR="00DB7FB2" w:rsidRPr="00FF09C8" w:rsidRDefault="00DB7FB2" w:rsidP="00C07663">
            <w:pPr>
              <w:jc w:val="center"/>
            </w:pPr>
            <w:r>
              <w:t>278.3</w:t>
            </w:r>
          </w:p>
        </w:tc>
      </w:tr>
      <w:tr w:rsidR="00DB7FB2" w:rsidRPr="00FF09C8" w:rsidTr="00A552F9">
        <w:trPr>
          <w:trHeight w:val="329"/>
        </w:trPr>
        <w:tc>
          <w:tcPr>
            <w:tcW w:w="1696" w:type="pct"/>
            <w:tcBorders>
              <w:left w:val="single" w:sz="12" w:space="0" w:color="auto"/>
            </w:tcBorders>
            <w:shd w:val="clear" w:color="auto" w:fill="CCC0D9" w:themeFill="accent4" w:themeFillTint="66"/>
          </w:tcPr>
          <w:p w:rsidR="00DB7FB2" w:rsidRDefault="00DB7FB2" w:rsidP="00C07663">
            <w:pPr>
              <w:jc w:val="center"/>
            </w:pPr>
            <w:r>
              <w:t>Shady Hills</w:t>
            </w:r>
            <w:r w:rsidR="003C7DFA">
              <w:t xml:space="preserve"> </w:t>
            </w:r>
            <w:r w:rsidR="003C7DFA" w:rsidRPr="003C7DFA">
              <w:t>Energy Center</w:t>
            </w:r>
            <w:r>
              <w:t>, LLC</w:t>
            </w:r>
          </w:p>
        </w:tc>
        <w:tc>
          <w:tcPr>
            <w:tcW w:w="1832" w:type="pct"/>
            <w:shd w:val="clear" w:color="auto" w:fill="CCC0D9" w:themeFill="accent4" w:themeFillTint="66"/>
          </w:tcPr>
          <w:p w:rsidR="00DB7FB2" w:rsidRPr="0024048B" w:rsidRDefault="00DB7FB2" w:rsidP="00C07663">
            <w:pPr>
              <w:jc w:val="center"/>
              <w:rPr>
                <w:i/>
              </w:rPr>
            </w:pPr>
            <w:r w:rsidRPr="0024048B">
              <w:rPr>
                <w:i/>
              </w:rPr>
              <w:t>This Project</w:t>
            </w:r>
          </w:p>
        </w:tc>
        <w:tc>
          <w:tcPr>
            <w:tcW w:w="653" w:type="pct"/>
            <w:shd w:val="clear" w:color="auto" w:fill="CCC0D9" w:themeFill="accent4" w:themeFillTint="66"/>
          </w:tcPr>
          <w:p w:rsidR="00DB7FB2" w:rsidRDefault="00DB7FB2" w:rsidP="00C07663">
            <w:pPr>
              <w:jc w:val="center"/>
            </w:pPr>
            <w:r>
              <w:t>Pasco</w:t>
            </w:r>
          </w:p>
        </w:tc>
        <w:tc>
          <w:tcPr>
            <w:tcW w:w="819" w:type="pct"/>
            <w:tcBorders>
              <w:right w:val="single" w:sz="12" w:space="0" w:color="auto"/>
            </w:tcBorders>
            <w:shd w:val="clear" w:color="auto" w:fill="CCC0D9" w:themeFill="accent4" w:themeFillTint="66"/>
          </w:tcPr>
          <w:p w:rsidR="00DB7FB2" w:rsidRDefault="00DB7FB2" w:rsidP="00C07663">
            <w:pPr>
              <w:jc w:val="center"/>
            </w:pPr>
            <w:r>
              <w:t>187.5</w:t>
            </w:r>
          </w:p>
        </w:tc>
      </w:tr>
      <w:tr w:rsidR="00DB7FB2" w:rsidRPr="00FF09C8" w:rsidTr="00A552F9">
        <w:trPr>
          <w:trHeight w:val="329"/>
        </w:trPr>
        <w:tc>
          <w:tcPr>
            <w:tcW w:w="1696" w:type="pct"/>
            <w:tcBorders>
              <w:left w:val="single" w:sz="12" w:space="0" w:color="auto"/>
            </w:tcBorders>
          </w:tcPr>
          <w:p w:rsidR="00DB7FB2" w:rsidRPr="00FF09C8" w:rsidRDefault="00DB7FB2" w:rsidP="00C07663">
            <w:pPr>
              <w:jc w:val="center"/>
            </w:pPr>
            <w:r>
              <w:t>Duke Energy Florida</w:t>
            </w:r>
          </w:p>
        </w:tc>
        <w:tc>
          <w:tcPr>
            <w:tcW w:w="1832" w:type="pct"/>
          </w:tcPr>
          <w:p w:rsidR="00DB7FB2" w:rsidRPr="00FF09C8" w:rsidRDefault="00DB7FB2" w:rsidP="00C07663">
            <w:pPr>
              <w:jc w:val="center"/>
            </w:pPr>
            <w:r>
              <w:t>Anclote Power Plant</w:t>
            </w:r>
          </w:p>
        </w:tc>
        <w:tc>
          <w:tcPr>
            <w:tcW w:w="653" w:type="pct"/>
          </w:tcPr>
          <w:p w:rsidR="00DB7FB2" w:rsidRPr="00FF09C8" w:rsidRDefault="00DB7FB2" w:rsidP="00C07663">
            <w:pPr>
              <w:jc w:val="center"/>
            </w:pPr>
            <w:r>
              <w:t>Pasco</w:t>
            </w:r>
          </w:p>
        </w:tc>
        <w:tc>
          <w:tcPr>
            <w:tcW w:w="819" w:type="pct"/>
            <w:tcBorders>
              <w:right w:val="single" w:sz="12" w:space="0" w:color="auto"/>
            </w:tcBorders>
          </w:tcPr>
          <w:p w:rsidR="00DB7FB2" w:rsidRPr="00FF09C8" w:rsidRDefault="00DB7FB2" w:rsidP="00C07663">
            <w:pPr>
              <w:jc w:val="center"/>
            </w:pPr>
            <w:r>
              <w:t>150.6</w:t>
            </w:r>
          </w:p>
        </w:tc>
      </w:tr>
      <w:tr w:rsidR="00DB7FB2" w:rsidRPr="00FF09C8" w:rsidTr="00A552F9">
        <w:trPr>
          <w:trHeight w:val="351"/>
        </w:trPr>
        <w:tc>
          <w:tcPr>
            <w:tcW w:w="1696" w:type="pct"/>
            <w:tcBorders>
              <w:left w:val="single" w:sz="12" w:space="0" w:color="auto"/>
              <w:bottom w:val="single" w:sz="12" w:space="0" w:color="auto"/>
            </w:tcBorders>
          </w:tcPr>
          <w:p w:rsidR="00DB7FB2" w:rsidRPr="00FF09C8" w:rsidRDefault="00DB7FB2" w:rsidP="00C07663">
            <w:pPr>
              <w:jc w:val="center"/>
            </w:pPr>
            <w:r>
              <w:t>Florida Gas Transmission Company</w:t>
            </w:r>
          </w:p>
        </w:tc>
        <w:tc>
          <w:tcPr>
            <w:tcW w:w="1832" w:type="pct"/>
            <w:tcBorders>
              <w:bottom w:val="single" w:sz="12" w:space="0" w:color="auto"/>
            </w:tcBorders>
          </w:tcPr>
          <w:p w:rsidR="00DB7FB2" w:rsidRPr="00FF09C8" w:rsidRDefault="00DB7FB2" w:rsidP="00C07663">
            <w:pPr>
              <w:jc w:val="center"/>
            </w:pPr>
            <w:r>
              <w:t>FGTC Station No. 27, Hillsborough</w:t>
            </w:r>
          </w:p>
        </w:tc>
        <w:tc>
          <w:tcPr>
            <w:tcW w:w="653" w:type="pct"/>
            <w:tcBorders>
              <w:bottom w:val="single" w:sz="12" w:space="0" w:color="auto"/>
            </w:tcBorders>
          </w:tcPr>
          <w:p w:rsidR="00DB7FB2" w:rsidRPr="00FF09C8" w:rsidRDefault="00DB7FB2" w:rsidP="00C07663">
            <w:pPr>
              <w:jc w:val="center"/>
            </w:pPr>
            <w:r>
              <w:t>Hillsborough</w:t>
            </w:r>
          </w:p>
        </w:tc>
        <w:tc>
          <w:tcPr>
            <w:tcW w:w="819" w:type="pct"/>
            <w:tcBorders>
              <w:bottom w:val="single" w:sz="12" w:space="0" w:color="auto"/>
              <w:right w:val="single" w:sz="12" w:space="0" w:color="auto"/>
            </w:tcBorders>
          </w:tcPr>
          <w:p w:rsidR="00DB7FB2" w:rsidRPr="00FF09C8" w:rsidRDefault="00DB7FB2" w:rsidP="00C07663">
            <w:pPr>
              <w:jc w:val="center"/>
            </w:pPr>
            <w:r>
              <w:t>36.3</w:t>
            </w:r>
          </w:p>
        </w:tc>
      </w:tr>
    </w:tbl>
    <w:p w:rsidR="00DB7FB2" w:rsidRDefault="00DB7FB2" w:rsidP="00DB7FB2">
      <w:pPr>
        <w:widowControl w:val="0"/>
        <w:spacing w:after="120"/>
        <w:jc w:val="both"/>
        <w:rPr>
          <w:sz w:val="22"/>
          <w:szCs w:val="22"/>
        </w:rPr>
      </w:pPr>
    </w:p>
    <w:tbl>
      <w:tblPr>
        <w:tblStyle w:val="TableGrid"/>
        <w:tblW w:w="5120" w:type="pct"/>
        <w:tblInd w:w="-185" w:type="dxa"/>
        <w:tblBorders>
          <w:insideH w:val="none" w:sz="0" w:space="0" w:color="auto"/>
          <w:insideV w:val="none" w:sz="0" w:space="0" w:color="auto"/>
        </w:tblBorders>
        <w:tblLook w:val="04A0" w:firstRow="1" w:lastRow="0" w:firstColumn="1" w:lastColumn="0" w:noHBand="0" w:noVBand="1"/>
      </w:tblPr>
      <w:tblGrid>
        <w:gridCol w:w="3883"/>
        <w:gridCol w:w="3530"/>
        <w:gridCol w:w="1059"/>
        <w:gridCol w:w="1672"/>
      </w:tblGrid>
      <w:tr w:rsidR="00DB7FB2" w:rsidRPr="00FF09C8" w:rsidTr="003C7DFA">
        <w:trPr>
          <w:trHeight w:val="677"/>
        </w:trPr>
        <w:tc>
          <w:tcPr>
            <w:tcW w:w="1914" w:type="pct"/>
            <w:tcBorders>
              <w:top w:val="single" w:sz="12" w:space="0" w:color="auto"/>
              <w:left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Owner</w:t>
            </w:r>
          </w:p>
        </w:tc>
        <w:tc>
          <w:tcPr>
            <w:tcW w:w="1740"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Facility Name</w:t>
            </w:r>
          </w:p>
        </w:tc>
        <w:tc>
          <w:tcPr>
            <w:tcW w:w="522"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County</w:t>
            </w:r>
          </w:p>
        </w:tc>
        <w:tc>
          <w:tcPr>
            <w:tcW w:w="824" w:type="pct"/>
            <w:tcBorders>
              <w:top w:val="single" w:sz="12" w:space="0" w:color="auto"/>
              <w:bottom w:val="single" w:sz="12" w:space="0" w:color="auto"/>
              <w:right w:val="single" w:sz="12" w:space="0" w:color="auto"/>
            </w:tcBorders>
            <w:shd w:val="clear" w:color="auto" w:fill="B8CCE4"/>
          </w:tcPr>
          <w:p w:rsidR="00DB7FB2" w:rsidRPr="00FF09C8" w:rsidRDefault="00DB7FB2" w:rsidP="00C07663">
            <w:pPr>
              <w:jc w:val="center"/>
              <w:rPr>
                <w:b/>
              </w:rPr>
            </w:pPr>
            <w:r>
              <w:rPr>
                <w:b/>
              </w:rPr>
              <w:t>2016</w:t>
            </w:r>
            <w:r w:rsidRPr="00FF09C8">
              <w:rPr>
                <w:b/>
              </w:rPr>
              <w:t xml:space="preserve"> </w:t>
            </w:r>
            <w:r>
              <w:rPr>
                <w:b/>
              </w:rPr>
              <w:t>NO</w:t>
            </w:r>
            <w:r w:rsidRPr="00C03D01">
              <w:rPr>
                <w:b/>
                <w:vertAlign w:val="subscript"/>
              </w:rPr>
              <w:t>X</w:t>
            </w:r>
            <w:r>
              <w:rPr>
                <w:b/>
              </w:rPr>
              <w:t xml:space="preserve"> </w:t>
            </w:r>
            <w:r w:rsidRPr="00FF09C8">
              <w:rPr>
                <w:b/>
              </w:rPr>
              <w:t>Emissions (TPY)</w:t>
            </w:r>
          </w:p>
        </w:tc>
      </w:tr>
      <w:tr w:rsidR="00DB7FB2" w:rsidRPr="00FF09C8" w:rsidTr="00A552F9">
        <w:trPr>
          <w:trHeight w:val="265"/>
        </w:trPr>
        <w:tc>
          <w:tcPr>
            <w:tcW w:w="1914" w:type="pct"/>
            <w:tcBorders>
              <w:top w:val="single" w:sz="12" w:space="0" w:color="auto"/>
              <w:left w:val="single" w:sz="12" w:space="0" w:color="auto"/>
            </w:tcBorders>
          </w:tcPr>
          <w:p w:rsidR="00DB7FB2" w:rsidRPr="00FF09C8" w:rsidRDefault="00DB7FB2" w:rsidP="00C07663">
            <w:pPr>
              <w:jc w:val="center"/>
            </w:pPr>
            <w:r>
              <w:t>Duke Energy Florida</w:t>
            </w:r>
          </w:p>
        </w:tc>
        <w:tc>
          <w:tcPr>
            <w:tcW w:w="1740" w:type="pct"/>
            <w:tcBorders>
              <w:top w:val="single" w:sz="12" w:space="0" w:color="auto"/>
            </w:tcBorders>
          </w:tcPr>
          <w:p w:rsidR="00DB7FB2" w:rsidRPr="00FF09C8" w:rsidRDefault="00DB7FB2" w:rsidP="00C07663">
            <w:pPr>
              <w:jc w:val="center"/>
            </w:pPr>
            <w:r>
              <w:t>Anclote Power Plant</w:t>
            </w:r>
          </w:p>
        </w:tc>
        <w:tc>
          <w:tcPr>
            <w:tcW w:w="522" w:type="pct"/>
            <w:tcBorders>
              <w:top w:val="single" w:sz="12" w:space="0" w:color="auto"/>
            </w:tcBorders>
          </w:tcPr>
          <w:p w:rsidR="00DB7FB2" w:rsidRPr="00FF09C8" w:rsidRDefault="00DB7FB2" w:rsidP="00C07663">
            <w:pPr>
              <w:jc w:val="center"/>
            </w:pPr>
            <w:r>
              <w:t>Pasco</w:t>
            </w:r>
          </w:p>
        </w:tc>
        <w:tc>
          <w:tcPr>
            <w:tcW w:w="824" w:type="pct"/>
            <w:tcBorders>
              <w:top w:val="single" w:sz="12" w:space="0" w:color="auto"/>
              <w:right w:val="single" w:sz="12" w:space="0" w:color="auto"/>
            </w:tcBorders>
          </w:tcPr>
          <w:p w:rsidR="00DB7FB2" w:rsidRPr="00FF09C8" w:rsidRDefault="00DB7FB2" w:rsidP="00C07663">
            <w:pPr>
              <w:jc w:val="center"/>
            </w:pPr>
            <w:r>
              <w:t>2,641.4</w:t>
            </w:r>
          </w:p>
        </w:tc>
      </w:tr>
      <w:tr w:rsidR="00DB7FB2" w:rsidRPr="00FF09C8" w:rsidTr="00A552F9">
        <w:trPr>
          <w:trHeight w:val="549"/>
        </w:trPr>
        <w:tc>
          <w:tcPr>
            <w:tcW w:w="1914" w:type="pct"/>
            <w:tcBorders>
              <w:left w:val="single" w:sz="12" w:space="0" w:color="auto"/>
            </w:tcBorders>
          </w:tcPr>
          <w:p w:rsidR="00DB7FB2" w:rsidRPr="00FF09C8" w:rsidRDefault="00DB7FB2" w:rsidP="00C07663">
            <w:pPr>
              <w:jc w:val="center"/>
            </w:pPr>
            <w:r>
              <w:t>Pasco County</w:t>
            </w:r>
          </w:p>
        </w:tc>
        <w:tc>
          <w:tcPr>
            <w:tcW w:w="1740" w:type="pct"/>
          </w:tcPr>
          <w:p w:rsidR="00DB7FB2" w:rsidRPr="00FF09C8" w:rsidRDefault="00DB7FB2" w:rsidP="00C07663">
            <w:pPr>
              <w:jc w:val="center"/>
            </w:pPr>
            <w:r>
              <w:t>Pasco County Resource Recovery Facility</w:t>
            </w:r>
          </w:p>
        </w:tc>
        <w:tc>
          <w:tcPr>
            <w:tcW w:w="522" w:type="pct"/>
          </w:tcPr>
          <w:p w:rsidR="00DB7FB2" w:rsidRPr="00FF09C8" w:rsidRDefault="00DB7FB2" w:rsidP="00C07663">
            <w:pPr>
              <w:jc w:val="center"/>
            </w:pPr>
            <w:r>
              <w:t>Pasco</w:t>
            </w:r>
          </w:p>
        </w:tc>
        <w:tc>
          <w:tcPr>
            <w:tcW w:w="824" w:type="pct"/>
            <w:tcBorders>
              <w:right w:val="single" w:sz="12" w:space="0" w:color="auto"/>
            </w:tcBorders>
          </w:tcPr>
          <w:p w:rsidR="00DB7FB2" w:rsidRPr="00FF09C8" w:rsidRDefault="00DB7FB2" w:rsidP="00C07663">
            <w:pPr>
              <w:jc w:val="center"/>
            </w:pPr>
            <w:r>
              <w:t>1,177.5</w:t>
            </w:r>
          </w:p>
        </w:tc>
      </w:tr>
      <w:tr w:rsidR="00DB7FB2" w:rsidRPr="00FF09C8" w:rsidTr="00A552F9">
        <w:trPr>
          <w:trHeight w:val="265"/>
        </w:trPr>
        <w:tc>
          <w:tcPr>
            <w:tcW w:w="1914" w:type="pct"/>
            <w:tcBorders>
              <w:left w:val="single" w:sz="12" w:space="0" w:color="auto"/>
            </w:tcBorders>
          </w:tcPr>
          <w:p w:rsidR="00DB7FB2" w:rsidRPr="00FF09C8" w:rsidRDefault="00DB7FB2" w:rsidP="00C07663">
            <w:pPr>
              <w:jc w:val="center"/>
            </w:pPr>
            <w:r>
              <w:t>CEMEX Construction Materials Florida</w:t>
            </w:r>
          </w:p>
        </w:tc>
        <w:tc>
          <w:tcPr>
            <w:tcW w:w="1740" w:type="pct"/>
          </w:tcPr>
          <w:p w:rsidR="00DB7FB2" w:rsidRPr="003570D2" w:rsidRDefault="00DB7FB2" w:rsidP="00C07663">
            <w:pPr>
              <w:jc w:val="center"/>
            </w:pPr>
            <w:r>
              <w:t>CEMEX Brooksville South Cement Plant</w:t>
            </w:r>
          </w:p>
        </w:tc>
        <w:tc>
          <w:tcPr>
            <w:tcW w:w="522" w:type="pct"/>
          </w:tcPr>
          <w:p w:rsidR="00DB7FB2" w:rsidRPr="00FF09C8" w:rsidRDefault="00DB7FB2" w:rsidP="00C07663">
            <w:pPr>
              <w:jc w:val="center"/>
            </w:pPr>
            <w:r>
              <w:t>Hernando</w:t>
            </w:r>
          </w:p>
        </w:tc>
        <w:tc>
          <w:tcPr>
            <w:tcW w:w="824" w:type="pct"/>
            <w:tcBorders>
              <w:right w:val="single" w:sz="12" w:space="0" w:color="auto"/>
            </w:tcBorders>
          </w:tcPr>
          <w:p w:rsidR="00DB7FB2" w:rsidRPr="00FF09C8" w:rsidRDefault="00DB7FB2" w:rsidP="00C07663">
            <w:pPr>
              <w:jc w:val="center"/>
            </w:pPr>
            <w:r>
              <w:t>982.9</w:t>
            </w:r>
          </w:p>
        </w:tc>
      </w:tr>
      <w:tr w:rsidR="00DB7FB2" w:rsidRPr="00FF09C8" w:rsidTr="00A552F9">
        <w:trPr>
          <w:trHeight w:val="265"/>
        </w:trPr>
        <w:tc>
          <w:tcPr>
            <w:tcW w:w="1914" w:type="pct"/>
            <w:tcBorders>
              <w:left w:val="single" w:sz="12" w:space="0" w:color="auto"/>
            </w:tcBorders>
          </w:tcPr>
          <w:p w:rsidR="00DB7FB2" w:rsidRPr="00FF09C8" w:rsidRDefault="00DB7FB2" w:rsidP="00C07663">
            <w:pPr>
              <w:jc w:val="center"/>
            </w:pPr>
            <w:r>
              <w:t>Florida Power Development</w:t>
            </w:r>
          </w:p>
        </w:tc>
        <w:tc>
          <w:tcPr>
            <w:tcW w:w="1740" w:type="pct"/>
          </w:tcPr>
          <w:p w:rsidR="00DB7FB2" w:rsidRPr="00FF09C8" w:rsidRDefault="00DB7FB2" w:rsidP="00C07663">
            <w:pPr>
              <w:jc w:val="center"/>
            </w:pPr>
            <w:r>
              <w:t>Brooksville Power Plant</w:t>
            </w:r>
          </w:p>
        </w:tc>
        <w:tc>
          <w:tcPr>
            <w:tcW w:w="522" w:type="pct"/>
          </w:tcPr>
          <w:p w:rsidR="00DB7FB2" w:rsidRPr="00FF09C8" w:rsidRDefault="00DB7FB2" w:rsidP="00C07663">
            <w:pPr>
              <w:jc w:val="center"/>
            </w:pPr>
            <w:r>
              <w:t>Hernando</w:t>
            </w:r>
          </w:p>
        </w:tc>
        <w:tc>
          <w:tcPr>
            <w:tcW w:w="824" w:type="pct"/>
            <w:tcBorders>
              <w:right w:val="single" w:sz="12" w:space="0" w:color="auto"/>
            </w:tcBorders>
          </w:tcPr>
          <w:p w:rsidR="00DB7FB2" w:rsidRPr="00FF09C8" w:rsidRDefault="00DB7FB2" w:rsidP="00C07663">
            <w:pPr>
              <w:jc w:val="center"/>
            </w:pPr>
            <w:r>
              <w:t>366.7</w:t>
            </w:r>
          </w:p>
        </w:tc>
      </w:tr>
      <w:tr w:rsidR="00DB7FB2" w:rsidRPr="00FF09C8" w:rsidTr="00A552F9">
        <w:trPr>
          <w:trHeight w:val="283"/>
        </w:trPr>
        <w:tc>
          <w:tcPr>
            <w:tcW w:w="1914" w:type="pct"/>
            <w:tcBorders>
              <w:left w:val="single" w:sz="12" w:space="0" w:color="auto"/>
            </w:tcBorders>
          </w:tcPr>
          <w:p w:rsidR="00DB7FB2" w:rsidRPr="00FF09C8" w:rsidRDefault="00DB7FB2" w:rsidP="00C07663">
            <w:pPr>
              <w:jc w:val="center"/>
            </w:pPr>
            <w:r>
              <w:t>Quantum Pasco Power</w:t>
            </w:r>
          </w:p>
        </w:tc>
        <w:tc>
          <w:tcPr>
            <w:tcW w:w="1740" w:type="pct"/>
          </w:tcPr>
          <w:p w:rsidR="00DB7FB2" w:rsidRPr="00FF09C8" w:rsidRDefault="00DB7FB2" w:rsidP="00C07663">
            <w:pPr>
              <w:jc w:val="center"/>
            </w:pPr>
            <w:r>
              <w:t>Quantum Pasco Power</w:t>
            </w:r>
          </w:p>
        </w:tc>
        <w:tc>
          <w:tcPr>
            <w:tcW w:w="522" w:type="pct"/>
          </w:tcPr>
          <w:p w:rsidR="00DB7FB2" w:rsidRPr="00FF09C8" w:rsidRDefault="00DB7FB2" w:rsidP="00C07663">
            <w:pPr>
              <w:jc w:val="center"/>
            </w:pPr>
            <w:r>
              <w:t>Pasco</w:t>
            </w:r>
          </w:p>
        </w:tc>
        <w:tc>
          <w:tcPr>
            <w:tcW w:w="824" w:type="pct"/>
            <w:tcBorders>
              <w:right w:val="single" w:sz="12" w:space="0" w:color="auto"/>
            </w:tcBorders>
          </w:tcPr>
          <w:p w:rsidR="00DB7FB2" w:rsidRPr="00FF09C8" w:rsidRDefault="00DB7FB2" w:rsidP="00C07663">
            <w:pPr>
              <w:jc w:val="center"/>
            </w:pPr>
            <w:r>
              <w:t>341.0</w:t>
            </w:r>
          </w:p>
        </w:tc>
      </w:tr>
      <w:tr w:rsidR="00DB7FB2" w:rsidRPr="00FF09C8" w:rsidTr="00A552F9">
        <w:trPr>
          <w:trHeight w:val="265"/>
        </w:trPr>
        <w:tc>
          <w:tcPr>
            <w:tcW w:w="1914" w:type="pct"/>
            <w:tcBorders>
              <w:left w:val="single" w:sz="12" w:space="0" w:color="auto"/>
              <w:bottom w:val="single" w:sz="12" w:space="0" w:color="auto"/>
            </w:tcBorders>
            <w:shd w:val="clear" w:color="auto" w:fill="CCC0D9" w:themeFill="accent4" w:themeFillTint="66"/>
          </w:tcPr>
          <w:p w:rsidR="00DB7FB2" w:rsidRDefault="00DB7FB2" w:rsidP="00C07663">
            <w:pPr>
              <w:jc w:val="center"/>
            </w:pPr>
            <w:r>
              <w:t>Shady Hills</w:t>
            </w:r>
            <w:r w:rsidR="003C7DFA">
              <w:t xml:space="preserve"> Energy Center</w:t>
            </w:r>
            <w:r>
              <w:t>, LLC</w:t>
            </w:r>
          </w:p>
        </w:tc>
        <w:tc>
          <w:tcPr>
            <w:tcW w:w="1740" w:type="pct"/>
            <w:tcBorders>
              <w:bottom w:val="single" w:sz="12" w:space="0" w:color="auto"/>
            </w:tcBorders>
            <w:shd w:val="clear" w:color="auto" w:fill="CCC0D9" w:themeFill="accent4" w:themeFillTint="66"/>
          </w:tcPr>
          <w:p w:rsidR="00DB7FB2" w:rsidRDefault="00DB7FB2" w:rsidP="00C07663">
            <w:pPr>
              <w:jc w:val="center"/>
            </w:pPr>
            <w:r>
              <w:rPr>
                <w:i/>
              </w:rPr>
              <w:t>This Project</w:t>
            </w:r>
          </w:p>
        </w:tc>
        <w:tc>
          <w:tcPr>
            <w:tcW w:w="522" w:type="pct"/>
            <w:tcBorders>
              <w:bottom w:val="single" w:sz="12" w:space="0" w:color="auto"/>
            </w:tcBorders>
            <w:shd w:val="clear" w:color="auto" w:fill="CCC0D9" w:themeFill="accent4" w:themeFillTint="66"/>
          </w:tcPr>
          <w:p w:rsidR="00DB7FB2" w:rsidRDefault="00DB7FB2" w:rsidP="00C07663">
            <w:pPr>
              <w:jc w:val="center"/>
            </w:pPr>
            <w:r>
              <w:t>Pasco</w:t>
            </w:r>
          </w:p>
        </w:tc>
        <w:tc>
          <w:tcPr>
            <w:tcW w:w="824" w:type="pct"/>
            <w:tcBorders>
              <w:bottom w:val="single" w:sz="12" w:space="0" w:color="auto"/>
              <w:right w:val="single" w:sz="12" w:space="0" w:color="auto"/>
            </w:tcBorders>
            <w:shd w:val="clear" w:color="auto" w:fill="CCC0D9" w:themeFill="accent4" w:themeFillTint="66"/>
          </w:tcPr>
          <w:p w:rsidR="00DB7FB2" w:rsidRDefault="00DB7FB2" w:rsidP="00C07663">
            <w:pPr>
              <w:jc w:val="center"/>
            </w:pPr>
            <w:r>
              <w:t>126.2</w:t>
            </w:r>
          </w:p>
        </w:tc>
      </w:tr>
    </w:tbl>
    <w:p w:rsidR="00DB7FB2" w:rsidRDefault="00DB7FB2" w:rsidP="00DB7FB2">
      <w:pPr>
        <w:widowControl w:val="0"/>
        <w:spacing w:after="120"/>
        <w:jc w:val="both"/>
        <w:rPr>
          <w:sz w:val="22"/>
          <w:szCs w:val="22"/>
        </w:rPr>
      </w:pPr>
    </w:p>
    <w:tbl>
      <w:tblPr>
        <w:tblStyle w:val="TableGrid"/>
        <w:tblW w:w="5126" w:type="pct"/>
        <w:tblInd w:w="-185" w:type="dxa"/>
        <w:tblBorders>
          <w:insideH w:val="none" w:sz="0" w:space="0" w:color="auto"/>
          <w:insideV w:val="none" w:sz="0" w:space="0" w:color="auto"/>
        </w:tblBorders>
        <w:tblLook w:val="04A0" w:firstRow="1" w:lastRow="0" w:firstColumn="1" w:lastColumn="0" w:noHBand="0" w:noVBand="1"/>
      </w:tblPr>
      <w:tblGrid>
        <w:gridCol w:w="3434"/>
        <w:gridCol w:w="3782"/>
        <w:gridCol w:w="1272"/>
        <w:gridCol w:w="1668"/>
      </w:tblGrid>
      <w:tr w:rsidR="00DB7FB2" w:rsidRPr="00FF09C8" w:rsidTr="003C7DFA">
        <w:trPr>
          <w:trHeight w:val="677"/>
        </w:trPr>
        <w:tc>
          <w:tcPr>
            <w:tcW w:w="1691" w:type="pct"/>
            <w:tcBorders>
              <w:top w:val="single" w:sz="12" w:space="0" w:color="auto"/>
              <w:left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Owner</w:t>
            </w:r>
          </w:p>
        </w:tc>
        <w:tc>
          <w:tcPr>
            <w:tcW w:w="1862"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Facility Name</w:t>
            </w:r>
          </w:p>
        </w:tc>
        <w:tc>
          <w:tcPr>
            <w:tcW w:w="626" w:type="pct"/>
            <w:tcBorders>
              <w:top w:val="single" w:sz="12" w:space="0" w:color="auto"/>
              <w:bottom w:val="single" w:sz="12" w:space="0" w:color="auto"/>
            </w:tcBorders>
            <w:shd w:val="clear" w:color="auto" w:fill="B8CCE4"/>
            <w:vAlign w:val="center"/>
          </w:tcPr>
          <w:p w:rsidR="00DB7FB2" w:rsidRPr="00FF09C8" w:rsidRDefault="00DB7FB2" w:rsidP="00C07663">
            <w:pPr>
              <w:jc w:val="center"/>
              <w:rPr>
                <w:b/>
              </w:rPr>
            </w:pPr>
            <w:r w:rsidRPr="00FF09C8">
              <w:rPr>
                <w:b/>
              </w:rPr>
              <w:t>County</w:t>
            </w:r>
          </w:p>
        </w:tc>
        <w:tc>
          <w:tcPr>
            <w:tcW w:w="821" w:type="pct"/>
            <w:tcBorders>
              <w:top w:val="single" w:sz="12" w:space="0" w:color="auto"/>
              <w:bottom w:val="single" w:sz="12" w:space="0" w:color="auto"/>
              <w:right w:val="single" w:sz="12" w:space="0" w:color="auto"/>
            </w:tcBorders>
            <w:shd w:val="clear" w:color="auto" w:fill="B8CCE4"/>
          </w:tcPr>
          <w:p w:rsidR="00DB7FB2" w:rsidRPr="00FF09C8" w:rsidRDefault="00DB7FB2" w:rsidP="00C07663">
            <w:pPr>
              <w:jc w:val="center"/>
              <w:rPr>
                <w:b/>
              </w:rPr>
            </w:pPr>
            <w:r>
              <w:rPr>
                <w:b/>
              </w:rPr>
              <w:t>2016</w:t>
            </w:r>
            <w:r w:rsidRPr="00FF09C8">
              <w:rPr>
                <w:b/>
              </w:rPr>
              <w:t xml:space="preserve"> </w:t>
            </w:r>
            <w:r>
              <w:rPr>
                <w:b/>
              </w:rPr>
              <w:t>SO</w:t>
            </w:r>
            <w:r w:rsidRPr="00C03D01">
              <w:rPr>
                <w:b/>
                <w:vertAlign w:val="subscript"/>
              </w:rPr>
              <w:t>2</w:t>
            </w:r>
            <w:r w:rsidRPr="00FF09C8">
              <w:rPr>
                <w:b/>
              </w:rPr>
              <w:t xml:space="preserve"> Emissions (TPY)</w:t>
            </w:r>
          </w:p>
        </w:tc>
      </w:tr>
      <w:tr w:rsidR="00DB7FB2" w:rsidRPr="00FF09C8" w:rsidTr="00CB10C8">
        <w:trPr>
          <w:trHeight w:val="287"/>
        </w:trPr>
        <w:tc>
          <w:tcPr>
            <w:tcW w:w="1691" w:type="pct"/>
            <w:tcBorders>
              <w:top w:val="single" w:sz="12" w:space="0" w:color="auto"/>
              <w:left w:val="single" w:sz="12" w:space="0" w:color="auto"/>
            </w:tcBorders>
          </w:tcPr>
          <w:p w:rsidR="00DB7FB2" w:rsidRPr="00FF09C8" w:rsidRDefault="00DB7FB2" w:rsidP="00C07663">
            <w:pPr>
              <w:jc w:val="center"/>
            </w:pPr>
            <w:r>
              <w:t>Mosaic Fertilizer</w:t>
            </w:r>
          </w:p>
        </w:tc>
        <w:tc>
          <w:tcPr>
            <w:tcW w:w="1862" w:type="pct"/>
            <w:tcBorders>
              <w:top w:val="single" w:sz="12" w:space="0" w:color="auto"/>
            </w:tcBorders>
          </w:tcPr>
          <w:p w:rsidR="00DB7FB2" w:rsidRPr="00FF09C8" w:rsidRDefault="00DB7FB2" w:rsidP="00C07663">
            <w:pPr>
              <w:jc w:val="center"/>
            </w:pPr>
            <w:r>
              <w:t>Mosaic Fertilizer – Plant City</w:t>
            </w:r>
          </w:p>
        </w:tc>
        <w:tc>
          <w:tcPr>
            <w:tcW w:w="626" w:type="pct"/>
            <w:tcBorders>
              <w:top w:val="single" w:sz="12" w:space="0" w:color="auto"/>
            </w:tcBorders>
          </w:tcPr>
          <w:p w:rsidR="00DB7FB2" w:rsidRPr="00FF09C8" w:rsidRDefault="00DB7FB2" w:rsidP="00C07663">
            <w:pPr>
              <w:jc w:val="center"/>
            </w:pPr>
            <w:r>
              <w:t>Hillsborough</w:t>
            </w:r>
          </w:p>
        </w:tc>
        <w:tc>
          <w:tcPr>
            <w:tcW w:w="821" w:type="pct"/>
            <w:tcBorders>
              <w:top w:val="single" w:sz="12" w:space="0" w:color="auto"/>
              <w:right w:val="single" w:sz="12" w:space="0" w:color="auto"/>
            </w:tcBorders>
          </w:tcPr>
          <w:p w:rsidR="00DB7FB2" w:rsidRPr="00FF09C8" w:rsidRDefault="00DB7FB2" w:rsidP="00C07663">
            <w:pPr>
              <w:jc w:val="center"/>
            </w:pPr>
            <w:r>
              <w:t>1,738.8</w:t>
            </w:r>
          </w:p>
        </w:tc>
      </w:tr>
      <w:tr w:rsidR="00DB7FB2" w:rsidRPr="00FF09C8" w:rsidTr="00CB10C8">
        <w:trPr>
          <w:trHeight w:val="287"/>
        </w:trPr>
        <w:tc>
          <w:tcPr>
            <w:tcW w:w="1691" w:type="pct"/>
            <w:tcBorders>
              <w:left w:val="single" w:sz="12" w:space="0" w:color="auto"/>
            </w:tcBorders>
          </w:tcPr>
          <w:p w:rsidR="00DB7FB2" w:rsidRPr="00FF09C8" w:rsidRDefault="00DB7FB2" w:rsidP="00C07663">
            <w:pPr>
              <w:jc w:val="center"/>
            </w:pPr>
            <w:r>
              <w:t>Envirofocus Technologies</w:t>
            </w:r>
          </w:p>
        </w:tc>
        <w:tc>
          <w:tcPr>
            <w:tcW w:w="1862" w:type="pct"/>
          </w:tcPr>
          <w:p w:rsidR="00DB7FB2" w:rsidRPr="00FF09C8" w:rsidRDefault="00DB7FB2" w:rsidP="00C07663">
            <w:pPr>
              <w:jc w:val="center"/>
            </w:pPr>
            <w:r>
              <w:t>Envirofocus Technologies</w:t>
            </w:r>
          </w:p>
        </w:tc>
        <w:tc>
          <w:tcPr>
            <w:tcW w:w="626" w:type="pct"/>
          </w:tcPr>
          <w:p w:rsidR="00DB7FB2" w:rsidRPr="00FF09C8" w:rsidRDefault="00DB7FB2" w:rsidP="00C07663">
            <w:pPr>
              <w:jc w:val="center"/>
            </w:pPr>
            <w:r>
              <w:t>Hillsborough</w:t>
            </w:r>
          </w:p>
        </w:tc>
        <w:tc>
          <w:tcPr>
            <w:tcW w:w="821" w:type="pct"/>
            <w:tcBorders>
              <w:right w:val="single" w:sz="12" w:space="0" w:color="auto"/>
            </w:tcBorders>
          </w:tcPr>
          <w:p w:rsidR="00DB7FB2" w:rsidRPr="00FF09C8" w:rsidRDefault="00DB7FB2" w:rsidP="00C07663">
            <w:pPr>
              <w:jc w:val="center"/>
            </w:pPr>
            <w:r>
              <w:t>266.1</w:t>
            </w:r>
          </w:p>
        </w:tc>
      </w:tr>
      <w:tr w:rsidR="00DB7FB2" w:rsidRPr="00FF09C8" w:rsidTr="00CB10C8">
        <w:trPr>
          <w:trHeight w:val="306"/>
        </w:trPr>
        <w:tc>
          <w:tcPr>
            <w:tcW w:w="1691" w:type="pct"/>
            <w:tcBorders>
              <w:left w:val="single" w:sz="12" w:space="0" w:color="auto"/>
            </w:tcBorders>
            <w:shd w:val="clear" w:color="auto" w:fill="CCC0D9" w:themeFill="accent4" w:themeFillTint="66"/>
          </w:tcPr>
          <w:p w:rsidR="00DB7FB2" w:rsidRDefault="00DB7FB2" w:rsidP="00C07663">
            <w:pPr>
              <w:jc w:val="center"/>
            </w:pPr>
            <w:r>
              <w:t>Shady Hills</w:t>
            </w:r>
            <w:r w:rsidR="003C7DFA">
              <w:t xml:space="preserve"> </w:t>
            </w:r>
            <w:r w:rsidR="003C7DFA" w:rsidRPr="003C7DFA">
              <w:t>Energy Center</w:t>
            </w:r>
            <w:r>
              <w:t>, LLC</w:t>
            </w:r>
          </w:p>
        </w:tc>
        <w:tc>
          <w:tcPr>
            <w:tcW w:w="1862" w:type="pct"/>
            <w:shd w:val="clear" w:color="auto" w:fill="CCC0D9" w:themeFill="accent4" w:themeFillTint="66"/>
          </w:tcPr>
          <w:p w:rsidR="00DB7FB2" w:rsidRDefault="00DB7FB2" w:rsidP="00C07663">
            <w:pPr>
              <w:jc w:val="center"/>
            </w:pPr>
            <w:r>
              <w:rPr>
                <w:i/>
              </w:rPr>
              <w:t>This Project</w:t>
            </w:r>
          </w:p>
        </w:tc>
        <w:tc>
          <w:tcPr>
            <w:tcW w:w="626" w:type="pct"/>
            <w:shd w:val="clear" w:color="auto" w:fill="CCC0D9" w:themeFill="accent4" w:themeFillTint="66"/>
          </w:tcPr>
          <w:p w:rsidR="00DB7FB2" w:rsidRDefault="00DB7FB2" w:rsidP="00C07663">
            <w:pPr>
              <w:jc w:val="center"/>
            </w:pPr>
            <w:r>
              <w:t>Pasco</w:t>
            </w:r>
          </w:p>
        </w:tc>
        <w:tc>
          <w:tcPr>
            <w:tcW w:w="821" w:type="pct"/>
            <w:tcBorders>
              <w:right w:val="single" w:sz="12" w:space="0" w:color="auto"/>
            </w:tcBorders>
            <w:shd w:val="clear" w:color="auto" w:fill="CCC0D9" w:themeFill="accent4" w:themeFillTint="66"/>
          </w:tcPr>
          <w:p w:rsidR="00DB7FB2" w:rsidRDefault="00DB7FB2" w:rsidP="00C07663">
            <w:pPr>
              <w:jc w:val="center"/>
            </w:pPr>
            <w:r>
              <w:t>90.9</w:t>
            </w:r>
          </w:p>
        </w:tc>
      </w:tr>
      <w:tr w:rsidR="00DB7FB2" w:rsidRPr="00FF09C8" w:rsidTr="00CB10C8">
        <w:trPr>
          <w:trHeight w:val="287"/>
        </w:trPr>
        <w:tc>
          <w:tcPr>
            <w:tcW w:w="1691" w:type="pct"/>
            <w:tcBorders>
              <w:left w:val="single" w:sz="12" w:space="0" w:color="auto"/>
            </w:tcBorders>
          </w:tcPr>
          <w:p w:rsidR="00DB7FB2" w:rsidRPr="00FF09C8" w:rsidRDefault="00DB7FB2" w:rsidP="00C07663">
            <w:pPr>
              <w:jc w:val="center"/>
            </w:pPr>
            <w:r>
              <w:t>Pasco County</w:t>
            </w:r>
          </w:p>
        </w:tc>
        <w:tc>
          <w:tcPr>
            <w:tcW w:w="1862" w:type="pct"/>
          </w:tcPr>
          <w:p w:rsidR="00DB7FB2" w:rsidRPr="009F2C3C" w:rsidRDefault="00DB7FB2" w:rsidP="00C07663">
            <w:pPr>
              <w:jc w:val="center"/>
              <w:rPr>
                <w:i/>
              </w:rPr>
            </w:pPr>
            <w:r>
              <w:t>Pasco County Resource Recovery Facility</w:t>
            </w:r>
          </w:p>
        </w:tc>
        <w:tc>
          <w:tcPr>
            <w:tcW w:w="626" w:type="pct"/>
          </w:tcPr>
          <w:p w:rsidR="00DB7FB2" w:rsidRPr="00FF09C8" w:rsidRDefault="00DB7FB2" w:rsidP="00C07663">
            <w:pPr>
              <w:jc w:val="center"/>
            </w:pPr>
            <w:r>
              <w:t>Pasco</w:t>
            </w:r>
          </w:p>
        </w:tc>
        <w:tc>
          <w:tcPr>
            <w:tcW w:w="821" w:type="pct"/>
            <w:tcBorders>
              <w:right w:val="single" w:sz="12" w:space="0" w:color="auto"/>
            </w:tcBorders>
          </w:tcPr>
          <w:p w:rsidR="00DB7FB2" w:rsidRPr="00FF09C8" w:rsidRDefault="00DB7FB2" w:rsidP="00C07663">
            <w:pPr>
              <w:jc w:val="center"/>
            </w:pPr>
            <w:r>
              <w:t>29.1</w:t>
            </w:r>
          </w:p>
        </w:tc>
      </w:tr>
      <w:tr w:rsidR="00DB7FB2" w:rsidRPr="00FF09C8" w:rsidTr="00CB10C8">
        <w:trPr>
          <w:trHeight w:val="287"/>
        </w:trPr>
        <w:tc>
          <w:tcPr>
            <w:tcW w:w="1691" w:type="pct"/>
            <w:tcBorders>
              <w:left w:val="single" w:sz="12" w:space="0" w:color="auto"/>
            </w:tcBorders>
          </w:tcPr>
          <w:p w:rsidR="00DB7FB2" w:rsidRPr="00FF09C8" w:rsidRDefault="00DB7FB2" w:rsidP="00C07663">
            <w:pPr>
              <w:jc w:val="center"/>
            </w:pPr>
            <w:r>
              <w:t>CEMEX Construction Materials Florida</w:t>
            </w:r>
          </w:p>
        </w:tc>
        <w:tc>
          <w:tcPr>
            <w:tcW w:w="1862" w:type="pct"/>
          </w:tcPr>
          <w:p w:rsidR="00DB7FB2" w:rsidRPr="00FF09C8" w:rsidRDefault="00DB7FB2" w:rsidP="00C07663">
            <w:pPr>
              <w:jc w:val="center"/>
            </w:pPr>
            <w:r>
              <w:t>CEMEX Brooksville South Cement Plant</w:t>
            </w:r>
          </w:p>
        </w:tc>
        <w:tc>
          <w:tcPr>
            <w:tcW w:w="626" w:type="pct"/>
          </w:tcPr>
          <w:p w:rsidR="00DB7FB2" w:rsidRPr="00FF09C8" w:rsidRDefault="00DB7FB2" w:rsidP="00C07663">
            <w:pPr>
              <w:jc w:val="center"/>
            </w:pPr>
            <w:r>
              <w:t>Hernando</w:t>
            </w:r>
          </w:p>
        </w:tc>
        <w:tc>
          <w:tcPr>
            <w:tcW w:w="821" w:type="pct"/>
            <w:tcBorders>
              <w:right w:val="single" w:sz="12" w:space="0" w:color="auto"/>
            </w:tcBorders>
          </w:tcPr>
          <w:p w:rsidR="00DB7FB2" w:rsidRPr="00FF09C8" w:rsidRDefault="00DB7FB2" w:rsidP="00C07663">
            <w:pPr>
              <w:jc w:val="center"/>
            </w:pPr>
            <w:r>
              <w:t>17.3</w:t>
            </w:r>
          </w:p>
        </w:tc>
      </w:tr>
      <w:tr w:rsidR="00DB7FB2" w:rsidRPr="00FF09C8" w:rsidTr="00CB10C8">
        <w:trPr>
          <w:trHeight w:val="306"/>
        </w:trPr>
        <w:tc>
          <w:tcPr>
            <w:tcW w:w="1691" w:type="pct"/>
            <w:tcBorders>
              <w:left w:val="single" w:sz="12" w:space="0" w:color="auto"/>
              <w:bottom w:val="single" w:sz="12" w:space="0" w:color="auto"/>
            </w:tcBorders>
          </w:tcPr>
          <w:p w:rsidR="00DB7FB2" w:rsidRPr="00FF09C8" w:rsidRDefault="00DB7FB2" w:rsidP="00C07663">
            <w:pPr>
              <w:jc w:val="center"/>
            </w:pPr>
            <w:r>
              <w:t>Duke Energy Florida</w:t>
            </w:r>
          </w:p>
        </w:tc>
        <w:tc>
          <w:tcPr>
            <w:tcW w:w="1862" w:type="pct"/>
            <w:tcBorders>
              <w:bottom w:val="single" w:sz="12" w:space="0" w:color="auto"/>
            </w:tcBorders>
          </w:tcPr>
          <w:p w:rsidR="00DB7FB2" w:rsidRPr="00FF09C8" w:rsidRDefault="00DB7FB2" w:rsidP="00C07663">
            <w:pPr>
              <w:jc w:val="center"/>
            </w:pPr>
            <w:r>
              <w:t>Anclote Power Plant</w:t>
            </w:r>
          </w:p>
        </w:tc>
        <w:tc>
          <w:tcPr>
            <w:tcW w:w="626" w:type="pct"/>
            <w:tcBorders>
              <w:bottom w:val="single" w:sz="12" w:space="0" w:color="auto"/>
            </w:tcBorders>
          </w:tcPr>
          <w:p w:rsidR="00DB7FB2" w:rsidRPr="00FF09C8" w:rsidRDefault="00DB7FB2" w:rsidP="00C07663">
            <w:pPr>
              <w:jc w:val="center"/>
            </w:pPr>
            <w:r>
              <w:t>Pasco</w:t>
            </w:r>
          </w:p>
        </w:tc>
        <w:tc>
          <w:tcPr>
            <w:tcW w:w="821" w:type="pct"/>
            <w:tcBorders>
              <w:bottom w:val="single" w:sz="12" w:space="0" w:color="auto"/>
              <w:right w:val="single" w:sz="12" w:space="0" w:color="auto"/>
            </w:tcBorders>
          </w:tcPr>
          <w:p w:rsidR="00DB7FB2" w:rsidRPr="00FF09C8" w:rsidRDefault="00DB7FB2" w:rsidP="00C07663">
            <w:pPr>
              <w:jc w:val="center"/>
            </w:pPr>
            <w:r>
              <w:t>11.1</w:t>
            </w:r>
          </w:p>
        </w:tc>
      </w:tr>
    </w:tbl>
    <w:p w:rsidR="00DB7FB2" w:rsidRDefault="00DB7FB2" w:rsidP="00DB7FB2">
      <w:pPr>
        <w:widowControl w:val="0"/>
        <w:spacing w:after="120"/>
        <w:jc w:val="both"/>
        <w:rPr>
          <w:sz w:val="22"/>
          <w:szCs w:val="22"/>
        </w:rPr>
      </w:pPr>
    </w:p>
    <w:tbl>
      <w:tblPr>
        <w:tblStyle w:val="TableGrid"/>
        <w:tblW w:w="5145" w:type="pct"/>
        <w:tblInd w:w="-185" w:type="dxa"/>
        <w:tblBorders>
          <w:insideH w:val="none" w:sz="0" w:space="0" w:color="auto"/>
          <w:insideV w:val="none" w:sz="0" w:space="0" w:color="auto"/>
        </w:tblBorders>
        <w:tblLook w:val="04A0" w:firstRow="1" w:lastRow="0" w:firstColumn="1" w:lastColumn="0" w:noHBand="0" w:noVBand="1"/>
      </w:tblPr>
      <w:tblGrid>
        <w:gridCol w:w="3540"/>
        <w:gridCol w:w="3709"/>
        <w:gridCol w:w="1274"/>
        <w:gridCol w:w="1670"/>
      </w:tblGrid>
      <w:tr w:rsidR="00DB7FB2" w:rsidRPr="00FF09C8" w:rsidTr="003C7DFA">
        <w:trPr>
          <w:trHeight w:val="677"/>
          <w:tblHeader/>
        </w:trPr>
        <w:tc>
          <w:tcPr>
            <w:tcW w:w="1736" w:type="pct"/>
            <w:tcBorders>
              <w:top w:val="single" w:sz="12" w:space="0" w:color="auto"/>
              <w:left w:val="single" w:sz="12" w:space="0" w:color="auto"/>
            </w:tcBorders>
            <w:shd w:val="clear" w:color="auto" w:fill="B8CCE4"/>
            <w:vAlign w:val="center"/>
          </w:tcPr>
          <w:p w:rsidR="00DB7FB2" w:rsidRPr="00FF09C8" w:rsidRDefault="00DB7FB2" w:rsidP="00C07663">
            <w:pPr>
              <w:jc w:val="center"/>
              <w:rPr>
                <w:b/>
              </w:rPr>
            </w:pPr>
            <w:r w:rsidRPr="00FF09C8">
              <w:rPr>
                <w:b/>
              </w:rPr>
              <w:t>Owner</w:t>
            </w:r>
          </w:p>
        </w:tc>
        <w:tc>
          <w:tcPr>
            <w:tcW w:w="1819" w:type="pct"/>
            <w:tcBorders>
              <w:top w:val="single" w:sz="12" w:space="0" w:color="auto"/>
            </w:tcBorders>
            <w:shd w:val="clear" w:color="auto" w:fill="B8CCE4"/>
            <w:vAlign w:val="center"/>
          </w:tcPr>
          <w:p w:rsidR="00DB7FB2" w:rsidRPr="00FF09C8" w:rsidRDefault="00DB7FB2" w:rsidP="00C07663">
            <w:pPr>
              <w:jc w:val="center"/>
              <w:rPr>
                <w:b/>
              </w:rPr>
            </w:pPr>
            <w:r w:rsidRPr="00FF09C8">
              <w:rPr>
                <w:b/>
              </w:rPr>
              <w:t>Facility Name</w:t>
            </w:r>
          </w:p>
        </w:tc>
        <w:tc>
          <w:tcPr>
            <w:tcW w:w="625" w:type="pct"/>
            <w:tcBorders>
              <w:top w:val="single" w:sz="12" w:space="0" w:color="auto"/>
            </w:tcBorders>
            <w:shd w:val="clear" w:color="auto" w:fill="B8CCE4"/>
            <w:vAlign w:val="center"/>
          </w:tcPr>
          <w:p w:rsidR="00DB7FB2" w:rsidRPr="00FF09C8" w:rsidRDefault="00DB7FB2" w:rsidP="00C07663">
            <w:pPr>
              <w:jc w:val="center"/>
              <w:rPr>
                <w:b/>
              </w:rPr>
            </w:pPr>
            <w:r w:rsidRPr="00FF09C8">
              <w:rPr>
                <w:b/>
              </w:rPr>
              <w:t>County</w:t>
            </w:r>
          </w:p>
        </w:tc>
        <w:tc>
          <w:tcPr>
            <w:tcW w:w="819" w:type="pct"/>
            <w:tcBorders>
              <w:top w:val="single" w:sz="12" w:space="0" w:color="auto"/>
              <w:right w:val="single" w:sz="12" w:space="0" w:color="auto"/>
            </w:tcBorders>
            <w:shd w:val="clear" w:color="auto" w:fill="B8CCE4"/>
          </w:tcPr>
          <w:p w:rsidR="00DB7FB2" w:rsidRPr="00FF09C8" w:rsidRDefault="00DB7FB2" w:rsidP="00C07663">
            <w:pPr>
              <w:jc w:val="center"/>
              <w:rPr>
                <w:b/>
              </w:rPr>
            </w:pPr>
            <w:r>
              <w:rPr>
                <w:b/>
              </w:rPr>
              <w:t>2016</w:t>
            </w:r>
            <w:r w:rsidRPr="00FF09C8">
              <w:rPr>
                <w:b/>
              </w:rPr>
              <w:t xml:space="preserve"> </w:t>
            </w:r>
            <w:r>
              <w:rPr>
                <w:b/>
              </w:rPr>
              <w:t>PM</w:t>
            </w:r>
            <w:r w:rsidRPr="00FF09C8">
              <w:rPr>
                <w:b/>
              </w:rPr>
              <w:t xml:space="preserve"> Emissions (TPY)</w:t>
            </w:r>
          </w:p>
        </w:tc>
      </w:tr>
      <w:tr w:rsidR="00DB7FB2" w:rsidRPr="00FF09C8" w:rsidTr="00CB10C8">
        <w:trPr>
          <w:trHeight w:val="297"/>
        </w:trPr>
        <w:tc>
          <w:tcPr>
            <w:tcW w:w="1736" w:type="pct"/>
            <w:tcBorders>
              <w:top w:val="single" w:sz="12" w:space="0" w:color="auto"/>
              <w:left w:val="single" w:sz="12" w:space="0" w:color="auto"/>
            </w:tcBorders>
          </w:tcPr>
          <w:p w:rsidR="00DB7FB2" w:rsidRPr="00FF09C8" w:rsidRDefault="00DB7FB2" w:rsidP="00C07663">
            <w:pPr>
              <w:jc w:val="center"/>
            </w:pPr>
            <w:r>
              <w:t>Duke Energy Florida</w:t>
            </w:r>
          </w:p>
        </w:tc>
        <w:tc>
          <w:tcPr>
            <w:tcW w:w="1819" w:type="pct"/>
            <w:tcBorders>
              <w:top w:val="single" w:sz="12" w:space="0" w:color="auto"/>
            </w:tcBorders>
          </w:tcPr>
          <w:p w:rsidR="00DB7FB2" w:rsidRPr="00FF09C8" w:rsidRDefault="00DB7FB2" w:rsidP="00C07663">
            <w:pPr>
              <w:jc w:val="center"/>
            </w:pPr>
            <w:r>
              <w:t>Anclote Power Plant</w:t>
            </w:r>
          </w:p>
        </w:tc>
        <w:tc>
          <w:tcPr>
            <w:tcW w:w="625" w:type="pct"/>
            <w:tcBorders>
              <w:top w:val="single" w:sz="12" w:space="0" w:color="auto"/>
            </w:tcBorders>
          </w:tcPr>
          <w:p w:rsidR="00DB7FB2" w:rsidRPr="00FF09C8" w:rsidRDefault="00DB7FB2" w:rsidP="00C07663">
            <w:pPr>
              <w:jc w:val="center"/>
            </w:pPr>
            <w:r>
              <w:t>Pasco</w:t>
            </w:r>
          </w:p>
        </w:tc>
        <w:tc>
          <w:tcPr>
            <w:tcW w:w="819" w:type="pct"/>
            <w:tcBorders>
              <w:top w:val="single" w:sz="12" w:space="0" w:color="auto"/>
              <w:right w:val="single" w:sz="12" w:space="0" w:color="auto"/>
            </w:tcBorders>
          </w:tcPr>
          <w:p w:rsidR="00DB7FB2" w:rsidRPr="00FF09C8" w:rsidRDefault="00DB7FB2" w:rsidP="00C07663">
            <w:pPr>
              <w:jc w:val="center"/>
            </w:pPr>
            <w:r>
              <w:t>151.4</w:t>
            </w:r>
          </w:p>
        </w:tc>
      </w:tr>
      <w:tr w:rsidR="00DB7FB2" w:rsidRPr="00FF09C8" w:rsidTr="00CB10C8">
        <w:trPr>
          <w:trHeight w:val="297"/>
        </w:trPr>
        <w:tc>
          <w:tcPr>
            <w:tcW w:w="1736" w:type="pct"/>
            <w:tcBorders>
              <w:left w:val="single" w:sz="12" w:space="0" w:color="auto"/>
            </w:tcBorders>
          </w:tcPr>
          <w:p w:rsidR="00DB7FB2" w:rsidRPr="00FF09C8" w:rsidRDefault="00DB7FB2" w:rsidP="00C07663">
            <w:pPr>
              <w:jc w:val="center"/>
            </w:pPr>
            <w:r>
              <w:t>Ardent Mills</w:t>
            </w:r>
          </w:p>
        </w:tc>
        <w:tc>
          <w:tcPr>
            <w:tcW w:w="1819" w:type="pct"/>
          </w:tcPr>
          <w:p w:rsidR="00DB7FB2" w:rsidRPr="00FF09C8" w:rsidRDefault="00DB7FB2" w:rsidP="00C07663">
            <w:pPr>
              <w:jc w:val="center"/>
            </w:pPr>
            <w:r>
              <w:t>Ardent Mills</w:t>
            </w:r>
          </w:p>
        </w:tc>
        <w:tc>
          <w:tcPr>
            <w:tcW w:w="625" w:type="pct"/>
          </w:tcPr>
          <w:p w:rsidR="00DB7FB2" w:rsidRPr="00FF09C8" w:rsidRDefault="00DB7FB2" w:rsidP="00C07663">
            <w:pPr>
              <w:jc w:val="center"/>
            </w:pPr>
            <w:r>
              <w:t>Hillsborough</w:t>
            </w:r>
          </w:p>
        </w:tc>
        <w:tc>
          <w:tcPr>
            <w:tcW w:w="819" w:type="pct"/>
            <w:tcBorders>
              <w:right w:val="single" w:sz="12" w:space="0" w:color="auto"/>
            </w:tcBorders>
          </w:tcPr>
          <w:p w:rsidR="00DB7FB2" w:rsidRPr="00FF09C8" w:rsidRDefault="00DB7FB2" w:rsidP="00C07663">
            <w:pPr>
              <w:jc w:val="center"/>
            </w:pPr>
            <w:r>
              <w:t>93.0</w:t>
            </w:r>
          </w:p>
        </w:tc>
      </w:tr>
      <w:tr w:rsidR="00DB7FB2" w:rsidRPr="00FF09C8" w:rsidTr="00CB10C8">
        <w:trPr>
          <w:trHeight w:val="317"/>
        </w:trPr>
        <w:tc>
          <w:tcPr>
            <w:tcW w:w="1736" w:type="pct"/>
            <w:tcBorders>
              <w:left w:val="single" w:sz="12" w:space="0" w:color="auto"/>
            </w:tcBorders>
            <w:shd w:val="clear" w:color="auto" w:fill="CCC0D9" w:themeFill="accent4" w:themeFillTint="66"/>
          </w:tcPr>
          <w:p w:rsidR="00DB7FB2" w:rsidRDefault="00DB7FB2" w:rsidP="00C07663">
            <w:pPr>
              <w:jc w:val="center"/>
            </w:pPr>
            <w:r>
              <w:t>Shady Hills</w:t>
            </w:r>
            <w:r w:rsidR="003C7DFA">
              <w:t xml:space="preserve"> </w:t>
            </w:r>
            <w:r w:rsidR="003C7DFA" w:rsidRPr="003C7DFA">
              <w:t>Energy Center</w:t>
            </w:r>
            <w:r>
              <w:t>, LLC</w:t>
            </w:r>
          </w:p>
        </w:tc>
        <w:tc>
          <w:tcPr>
            <w:tcW w:w="1819" w:type="pct"/>
            <w:shd w:val="clear" w:color="auto" w:fill="CCC0D9" w:themeFill="accent4" w:themeFillTint="66"/>
          </w:tcPr>
          <w:p w:rsidR="00DB7FB2" w:rsidRDefault="00DB7FB2" w:rsidP="00C07663">
            <w:pPr>
              <w:jc w:val="center"/>
            </w:pPr>
            <w:r>
              <w:rPr>
                <w:i/>
              </w:rPr>
              <w:t>This Project</w:t>
            </w:r>
          </w:p>
        </w:tc>
        <w:tc>
          <w:tcPr>
            <w:tcW w:w="625" w:type="pct"/>
            <w:shd w:val="clear" w:color="auto" w:fill="CCC0D9" w:themeFill="accent4" w:themeFillTint="66"/>
          </w:tcPr>
          <w:p w:rsidR="00DB7FB2" w:rsidRDefault="00DB7FB2" w:rsidP="00C07663">
            <w:pPr>
              <w:jc w:val="center"/>
            </w:pPr>
            <w:r>
              <w:t>Pasco</w:t>
            </w:r>
          </w:p>
        </w:tc>
        <w:tc>
          <w:tcPr>
            <w:tcW w:w="819" w:type="pct"/>
            <w:tcBorders>
              <w:right w:val="single" w:sz="12" w:space="0" w:color="auto"/>
            </w:tcBorders>
            <w:shd w:val="clear" w:color="auto" w:fill="CCC0D9" w:themeFill="accent4" w:themeFillTint="66"/>
          </w:tcPr>
          <w:p w:rsidR="00DB7FB2" w:rsidRDefault="00DB7FB2" w:rsidP="00C07663">
            <w:pPr>
              <w:jc w:val="center"/>
            </w:pPr>
            <w:r>
              <w:t>76.0</w:t>
            </w:r>
          </w:p>
        </w:tc>
      </w:tr>
      <w:tr w:rsidR="00DB7FB2" w:rsidRPr="00FF09C8" w:rsidTr="00CB10C8">
        <w:trPr>
          <w:trHeight w:val="297"/>
        </w:trPr>
        <w:tc>
          <w:tcPr>
            <w:tcW w:w="1736" w:type="pct"/>
            <w:tcBorders>
              <w:left w:val="single" w:sz="12" w:space="0" w:color="auto"/>
            </w:tcBorders>
          </w:tcPr>
          <w:p w:rsidR="00DB7FB2" w:rsidRPr="00FF09C8" w:rsidRDefault="00DB7FB2" w:rsidP="00C07663">
            <w:pPr>
              <w:jc w:val="center"/>
            </w:pPr>
            <w:r>
              <w:t>CEMEX Construction Materials Florida</w:t>
            </w:r>
          </w:p>
        </w:tc>
        <w:tc>
          <w:tcPr>
            <w:tcW w:w="1819" w:type="pct"/>
          </w:tcPr>
          <w:p w:rsidR="00DB7FB2" w:rsidRPr="009F2C3C" w:rsidRDefault="00DB7FB2" w:rsidP="00C07663">
            <w:pPr>
              <w:jc w:val="center"/>
              <w:rPr>
                <w:i/>
              </w:rPr>
            </w:pPr>
            <w:r>
              <w:t>CEMEX Brooksville South Cement Plant</w:t>
            </w:r>
          </w:p>
        </w:tc>
        <w:tc>
          <w:tcPr>
            <w:tcW w:w="625" w:type="pct"/>
          </w:tcPr>
          <w:p w:rsidR="00DB7FB2" w:rsidRPr="00FF09C8" w:rsidRDefault="00DB7FB2" w:rsidP="00C07663">
            <w:pPr>
              <w:jc w:val="center"/>
            </w:pPr>
            <w:r>
              <w:t>Hernando</w:t>
            </w:r>
          </w:p>
        </w:tc>
        <w:tc>
          <w:tcPr>
            <w:tcW w:w="819" w:type="pct"/>
            <w:tcBorders>
              <w:right w:val="single" w:sz="12" w:space="0" w:color="auto"/>
            </w:tcBorders>
          </w:tcPr>
          <w:p w:rsidR="00DB7FB2" w:rsidRPr="00FF09C8" w:rsidRDefault="00DB7FB2" w:rsidP="00C07663">
            <w:pPr>
              <w:jc w:val="center"/>
            </w:pPr>
            <w:r>
              <w:t>59.4</w:t>
            </w:r>
          </w:p>
        </w:tc>
      </w:tr>
      <w:tr w:rsidR="00DB7FB2" w:rsidRPr="00FF09C8" w:rsidTr="00CB10C8">
        <w:trPr>
          <w:trHeight w:val="297"/>
        </w:trPr>
        <w:tc>
          <w:tcPr>
            <w:tcW w:w="1736" w:type="pct"/>
            <w:tcBorders>
              <w:left w:val="single" w:sz="12" w:space="0" w:color="auto"/>
            </w:tcBorders>
          </w:tcPr>
          <w:p w:rsidR="00DB7FB2" w:rsidRPr="00FF09C8" w:rsidRDefault="00DB7FB2" w:rsidP="00C07663">
            <w:pPr>
              <w:jc w:val="center"/>
            </w:pPr>
            <w:r>
              <w:t>Florida Power Development</w:t>
            </w:r>
          </w:p>
        </w:tc>
        <w:tc>
          <w:tcPr>
            <w:tcW w:w="1819" w:type="pct"/>
          </w:tcPr>
          <w:p w:rsidR="00DB7FB2" w:rsidRPr="00FF09C8" w:rsidRDefault="00DB7FB2" w:rsidP="00C07663">
            <w:pPr>
              <w:jc w:val="center"/>
            </w:pPr>
            <w:r w:rsidRPr="00831211">
              <w:t>Brooksville Power Plant</w:t>
            </w:r>
          </w:p>
        </w:tc>
        <w:tc>
          <w:tcPr>
            <w:tcW w:w="625" w:type="pct"/>
          </w:tcPr>
          <w:p w:rsidR="00DB7FB2" w:rsidRPr="00FF09C8" w:rsidRDefault="00DB7FB2" w:rsidP="00C07663">
            <w:pPr>
              <w:jc w:val="center"/>
            </w:pPr>
            <w:r>
              <w:t>Hernando</w:t>
            </w:r>
          </w:p>
        </w:tc>
        <w:tc>
          <w:tcPr>
            <w:tcW w:w="819" w:type="pct"/>
            <w:tcBorders>
              <w:right w:val="single" w:sz="12" w:space="0" w:color="auto"/>
            </w:tcBorders>
          </w:tcPr>
          <w:p w:rsidR="00DB7FB2" w:rsidRPr="00FF09C8" w:rsidRDefault="00DB7FB2" w:rsidP="00C07663">
            <w:pPr>
              <w:jc w:val="center"/>
            </w:pPr>
            <w:r>
              <w:t>42.4</w:t>
            </w:r>
          </w:p>
        </w:tc>
      </w:tr>
      <w:tr w:rsidR="00DB7FB2" w:rsidRPr="00FF09C8" w:rsidTr="00CB10C8">
        <w:trPr>
          <w:trHeight w:val="317"/>
        </w:trPr>
        <w:tc>
          <w:tcPr>
            <w:tcW w:w="1736" w:type="pct"/>
            <w:tcBorders>
              <w:left w:val="single" w:sz="12" w:space="0" w:color="auto"/>
              <w:bottom w:val="single" w:sz="12" w:space="0" w:color="auto"/>
            </w:tcBorders>
          </w:tcPr>
          <w:p w:rsidR="00DB7FB2" w:rsidRPr="00FF09C8" w:rsidRDefault="00DB7FB2" w:rsidP="00C07663">
            <w:pPr>
              <w:jc w:val="center"/>
            </w:pPr>
            <w:r>
              <w:t>Mosaic Fertilizer</w:t>
            </w:r>
          </w:p>
        </w:tc>
        <w:tc>
          <w:tcPr>
            <w:tcW w:w="1819" w:type="pct"/>
            <w:tcBorders>
              <w:bottom w:val="single" w:sz="12" w:space="0" w:color="auto"/>
            </w:tcBorders>
          </w:tcPr>
          <w:p w:rsidR="00DB7FB2" w:rsidRPr="00FF09C8" w:rsidRDefault="00DB7FB2" w:rsidP="00C07663">
            <w:pPr>
              <w:jc w:val="center"/>
            </w:pPr>
            <w:r>
              <w:t>Mosaic Fertilizer – Plant City</w:t>
            </w:r>
          </w:p>
        </w:tc>
        <w:tc>
          <w:tcPr>
            <w:tcW w:w="625" w:type="pct"/>
            <w:tcBorders>
              <w:bottom w:val="single" w:sz="12" w:space="0" w:color="auto"/>
            </w:tcBorders>
          </w:tcPr>
          <w:p w:rsidR="00DB7FB2" w:rsidRPr="00FF09C8" w:rsidRDefault="00DB7FB2" w:rsidP="00C07663">
            <w:pPr>
              <w:jc w:val="center"/>
            </w:pPr>
            <w:r>
              <w:t>Hillsborough</w:t>
            </w:r>
          </w:p>
        </w:tc>
        <w:tc>
          <w:tcPr>
            <w:tcW w:w="819" w:type="pct"/>
            <w:tcBorders>
              <w:bottom w:val="single" w:sz="12" w:space="0" w:color="auto"/>
              <w:right w:val="single" w:sz="12" w:space="0" w:color="auto"/>
            </w:tcBorders>
          </w:tcPr>
          <w:p w:rsidR="00DB7FB2" w:rsidRPr="00FF09C8" w:rsidRDefault="00DB7FB2" w:rsidP="00C07663">
            <w:pPr>
              <w:jc w:val="center"/>
            </w:pPr>
            <w:r>
              <w:t>42.1</w:t>
            </w:r>
          </w:p>
        </w:tc>
      </w:tr>
    </w:tbl>
    <w:p w:rsidR="003260CF" w:rsidRDefault="003260CF" w:rsidP="00EF6B10">
      <w:pPr>
        <w:widowControl w:val="0"/>
        <w:spacing w:after="120"/>
        <w:rPr>
          <w:sz w:val="22"/>
          <w:szCs w:val="22"/>
        </w:rPr>
      </w:pPr>
    </w:p>
    <w:p w:rsidR="003260CF" w:rsidRDefault="003260CF">
      <w:pPr>
        <w:rPr>
          <w:sz w:val="22"/>
          <w:szCs w:val="22"/>
        </w:rPr>
      </w:pPr>
      <w:r>
        <w:rPr>
          <w:sz w:val="22"/>
          <w:szCs w:val="22"/>
        </w:rPr>
        <w:br w:type="page"/>
      </w:r>
    </w:p>
    <w:p w:rsidR="00EF6B10" w:rsidRPr="00EF6B10" w:rsidRDefault="00EF6B10" w:rsidP="00CB10C8">
      <w:pPr>
        <w:widowControl w:val="0"/>
        <w:spacing w:after="120"/>
        <w:rPr>
          <w:sz w:val="22"/>
          <w:szCs w:val="22"/>
        </w:rPr>
      </w:pPr>
      <w:r w:rsidRPr="00EF6B10">
        <w:rPr>
          <w:noProof/>
          <w:sz w:val="22"/>
          <w:szCs w:val="22"/>
        </w:rPr>
        <w:drawing>
          <wp:inline distT="0" distB="0" distL="0" distR="0" wp14:anchorId="2F2FECCC" wp14:editId="5C9C1391">
            <wp:extent cx="6409690" cy="5638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ckgroundSources2.png"/>
                    <pic:cNvPicPr/>
                  </pic:nvPicPr>
                  <pic:blipFill>
                    <a:blip r:embed="rId32">
                      <a:extLst>
                        <a:ext uri="{28A0092B-C50C-407E-A947-70E740481C1C}">
                          <a14:useLocalDpi xmlns:a14="http://schemas.microsoft.com/office/drawing/2010/main" val="0"/>
                        </a:ext>
                      </a:extLst>
                    </a:blip>
                    <a:stretch>
                      <a:fillRect/>
                    </a:stretch>
                  </pic:blipFill>
                  <pic:spPr>
                    <a:xfrm>
                      <a:off x="0" y="0"/>
                      <a:ext cx="6410057" cy="5639123"/>
                    </a:xfrm>
                    <a:prstGeom prst="rect">
                      <a:avLst/>
                    </a:prstGeom>
                  </pic:spPr>
                </pic:pic>
              </a:graphicData>
            </a:graphic>
          </wp:inline>
        </w:drawing>
      </w:r>
    </w:p>
    <w:p w:rsidR="00EF6B10" w:rsidRPr="00EF6B10" w:rsidRDefault="00EF6B10" w:rsidP="00802C3E">
      <w:pPr>
        <w:widowControl w:val="0"/>
        <w:spacing w:after="120"/>
        <w:jc w:val="center"/>
        <w:rPr>
          <w:b/>
          <w:sz w:val="22"/>
          <w:szCs w:val="22"/>
        </w:rPr>
      </w:pPr>
      <w:bookmarkStart w:id="78" w:name="_Ref485728699"/>
      <w:r w:rsidRPr="00EF6B10">
        <w:rPr>
          <w:b/>
          <w:sz w:val="22"/>
          <w:szCs w:val="22"/>
        </w:rPr>
        <w:t xml:space="preserve">Figure </w:t>
      </w:r>
      <w:r w:rsidRPr="00EF6B10">
        <w:rPr>
          <w:b/>
          <w:sz w:val="22"/>
          <w:szCs w:val="22"/>
        </w:rPr>
        <w:fldChar w:fldCharType="begin"/>
      </w:r>
      <w:r w:rsidRPr="00EF6B10">
        <w:rPr>
          <w:b/>
          <w:sz w:val="22"/>
          <w:szCs w:val="22"/>
        </w:rPr>
        <w:instrText xml:space="preserve"> SEQ Figure \* ARABIC </w:instrText>
      </w:r>
      <w:r w:rsidRPr="00EF6B10">
        <w:rPr>
          <w:b/>
          <w:sz w:val="22"/>
          <w:szCs w:val="22"/>
        </w:rPr>
        <w:fldChar w:fldCharType="separate"/>
      </w:r>
      <w:r w:rsidR="003E3FA4">
        <w:rPr>
          <w:b/>
          <w:noProof/>
          <w:sz w:val="22"/>
          <w:szCs w:val="22"/>
        </w:rPr>
        <w:t>9</w:t>
      </w:r>
      <w:r w:rsidRPr="00EF6B10">
        <w:rPr>
          <w:sz w:val="22"/>
          <w:szCs w:val="22"/>
        </w:rPr>
        <w:fldChar w:fldCharType="end"/>
      </w:r>
      <w:bookmarkEnd w:id="78"/>
      <w:r w:rsidRPr="00EF6B10">
        <w:rPr>
          <w:b/>
          <w:sz w:val="22"/>
          <w:szCs w:val="22"/>
        </w:rPr>
        <w:t xml:space="preserve">. </w:t>
      </w:r>
      <w:r w:rsidR="00460F32">
        <w:rPr>
          <w:b/>
          <w:sz w:val="22"/>
          <w:szCs w:val="22"/>
        </w:rPr>
        <w:t xml:space="preserve"> </w:t>
      </w:r>
      <w:r w:rsidRPr="00EF6B10">
        <w:rPr>
          <w:b/>
          <w:sz w:val="22"/>
          <w:szCs w:val="22"/>
        </w:rPr>
        <w:t xml:space="preserve">Reference </w:t>
      </w:r>
      <w:r w:rsidR="003E7635">
        <w:rPr>
          <w:b/>
          <w:sz w:val="22"/>
          <w:szCs w:val="22"/>
        </w:rPr>
        <w:t>M</w:t>
      </w:r>
      <w:r w:rsidRPr="00EF6B10">
        <w:rPr>
          <w:b/>
          <w:sz w:val="22"/>
          <w:szCs w:val="22"/>
        </w:rPr>
        <w:t xml:space="preserve">ap for the Shady Hills Generating Station </w:t>
      </w:r>
      <w:r w:rsidR="003E7635">
        <w:rPr>
          <w:b/>
          <w:sz w:val="22"/>
          <w:szCs w:val="22"/>
        </w:rPr>
        <w:t>P</w:t>
      </w:r>
      <w:r w:rsidRPr="00EF6B10">
        <w:rPr>
          <w:b/>
          <w:sz w:val="22"/>
          <w:szCs w:val="22"/>
        </w:rPr>
        <w:t xml:space="preserve">roject including the </w:t>
      </w:r>
      <w:r w:rsidR="003E7635">
        <w:rPr>
          <w:b/>
          <w:sz w:val="22"/>
          <w:szCs w:val="22"/>
        </w:rPr>
        <w:t>L</w:t>
      </w:r>
      <w:r w:rsidRPr="00EF6B10">
        <w:rPr>
          <w:b/>
          <w:sz w:val="22"/>
          <w:szCs w:val="22"/>
        </w:rPr>
        <w:t xml:space="preserve">argest </w:t>
      </w:r>
      <w:r w:rsidR="003E7635">
        <w:rPr>
          <w:b/>
          <w:sz w:val="22"/>
          <w:szCs w:val="22"/>
        </w:rPr>
        <w:t>S</w:t>
      </w:r>
      <w:r w:rsidRPr="00EF6B10">
        <w:rPr>
          <w:b/>
          <w:sz w:val="22"/>
          <w:szCs w:val="22"/>
        </w:rPr>
        <w:t xml:space="preserve">ources of </w:t>
      </w:r>
      <w:r w:rsidR="003E7635">
        <w:rPr>
          <w:b/>
          <w:sz w:val="22"/>
          <w:szCs w:val="22"/>
        </w:rPr>
        <w:t>A</w:t>
      </w:r>
      <w:r w:rsidRPr="00EF6B10">
        <w:rPr>
          <w:b/>
          <w:sz w:val="22"/>
          <w:szCs w:val="22"/>
        </w:rPr>
        <w:t xml:space="preserve">ir </w:t>
      </w:r>
      <w:r w:rsidR="003E7635">
        <w:rPr>
          <w:b/>
          <w:sz w:val="22"/>
          <w:szCs w:val="22"/>
        </w:rPr>
        <w:t>P</w:t>
      </w:r>
      <w:r w:rsidRPr="00EF6B10">
        <w:rPr>
          <w:b/>
          <w:sz w:val="22"/>
          <w:szCs w:val="22"/>
        </w:rPr>
        <w:t>ollutants within 50 km.</w:t>
      </w:r>
    </w:p>
    <w:p w:rsidR="00EF6B10" w:rsidRPr="00802C3E" w:rsidRDefault="00EF6B10" w:rsidP="00802C3E">
      <w:pPr>
        <w:pStyle w:val="ListParagraph"/>
        <w:widowControl w:val="0"/>
        <w:numPr>
          <w:ilvl w:val="2"/>
          <w:numId w:val="3"/>
        </w:numPr>
        <w:spacing w:before="120" w:after="120"/>
        <w:ind w:left="720" w:hanging="720"/>
        <w:contextualSpacing w:val="0"/>
        <w:rPr>
          <w:b/>
          <w:caps/>
          <w:sz w:val="22"/>
          <w:szCs w:val="22"/>
        </w:rPr>
      </w:pPr>
      <w:r w:rsidRPr="00EF6B10">
        <w:rPr>
          <w:sz w:val="22"/>
          <w:szCs w:val="22"/>
          <w:u w:val="single"/>
        </w:rPr>
        <w:t>Monitors</w:t>
      </w:r>
    </w:p>
    <w:p w:rsidR="0043024A" w:rsidRDefault="00EF6B10" w:rsidP="00EF6B10">
      <w:pPr>
        <w:widowControl w:val="0"/>
        <w:spacing w:after="120"/>
        <w:rPr>
          <w:sz w:val="22"/>
          <w:szCs w:val="22"/>
        </w:rPr>
      </w:pPr>
      <w:r w:rsidRPr="00EF6B10">
        <w:rPr>
          <w:sz w:val="22"/>
          <w:szCs w:val="22"/>
        </w:rPr>
        <w:t xml:space="preserve">Florida has a robust ambient air monitoring network operated by the Florida Department of Environmental Protection (Department) and its partners (local air pollution control programs). </w:t>
      </w:r>
      <w:r w:rsidR="00A55C44">
        <w:rPr>
          <w:sz w:val="22"/>
          <w:szCs w:val="22"/>
        </w:rPr>
        <w:t xml:space="preserve"> </w:t>
      </w:r>
      <w:r w:rsidRPr="00EF6B10">
        <w:rPr>
          <w:sz w:val="22"/>
          <w:szCs w:val="22"/>
        </w:rPr>
        <w:t xml:space="preserve">The network monitors concentrations of each of the criteria pollutants and includes monitors in Florida counties containing 92% of the population. </w:t>
      </w:r>
      <w:r w:rsidR="00A55C44">
        <w:rPr>
          <w:sz w:val="22"/>
          <w:szCs w:val="22"/>
        </w:rPr>
        <w:t xml:space="preserve"> </w:t>
      </w:r>
      <w:r w:rsidRPr="00EF6B10">
        <w:rPr>
          <w:sz w:val="22"/>
          <w:szCs w:val="22"/>
        </w:rPr>
        <w:t xml:space="preserve">The representative monitors chosen to evaluate the existing air quality in the area are described in </w:t>
      </w:r>
      <w:r w:rsidR="0043024A" w:rsidRPr="0043024A">
        <w:rPr>
          <w:rFonts w:ascii="Times New Roman Bold" w:hAnsi="Times New Roman Bold"/>
          <w:b/>
          <w:sz w:val="22"/>
          <w:szCs w:val="22"/>
        </w:rPr>
        <w:fldChar w:fldCharType="begin"/>
      </w:r>
      <w:r w:rsidR="0043024A" w:rsidRPr="0043024A">
        <w:rPr>
          <w:rFonts w:ascii="Times New Roman Bold" w:hAnsi="Times New Roman Bold"/>
          <w:b/>
          <w:sz w:val="22"/>
          <w:szCs w:val="22"/>
        </w:rPr>
        <w:instrText xml:space="preserve"> REF _Ref513625919 \h </w:instrText>
      </w:r>
      <w:r w:rsidR="0043024A">
        <w:rPr>
          <w:rFonts w:ascii="Times New Roman Bold" w:hAnsi="Times New Roman Bold"/>
          <w:b/>
          <w:sz w:val="22"/>
          <w:szCs w:val="22"/>
        </w:rPr>
        <w:instrText xml:space="preserve"> \* MERGEFORMAT </w:instrText>
      </w:r>
      <w:r w:rsidR="0043024A" w:rsidRPr="0043024A">
        <w:rPr>
          <w:rFonts w:ascii="Times New Roman Bold" w:hAnsi="Times New Roman Bold"/>
          <w:b/>
          <w:sz w:val="22"/>
          <w:szCs w:val="22"/>
        </w:rPr>
      </w:r>
      <w:r w:rsidR="0043024A" w:rsidRPr="0043024A">
        <w:rPr>
          <w:rFonts w:ascii="Times New Roman Bold" w:hAnsi="Times New Roman Bold"/>
          <w:b/>
          <w:sz w:val="22"/>
          <w:szCs w:val="22"/>
        </w:rPr>
        <w:fldChar w:fldCharType="separate"/>
      </w:r>
      <w:r w:rsidR="0043024A" w:rsidRPr="0043024A">
        <w:rPr>
          <w:rFonts w:ascii="Times New Roman Bold" w:hAnsi="Times New Roman Bold"/>
          <w:b/>
          <w:sz w:val="22"/>
        </w:rPr>
        <w:t xml:space="preserve">Table </w:t>
      </w:r>
      <w:r w:rsidR="0043024A" w:rsidRPr="0043024A">
        <w:rPr>
          <w:rFonts w:ascii="Times New Roman Bold" w:hAnsi="Times New Roman Bold"/>
          <w:b/>
          <w:noProof/>
          <w:sz w:val="22"/>
        </w:rPr>
        <w:t>19</w:t>
      </w:r>
      <w:r w:rsidR="0043024A" w:rsidRPr="0043024A">
        <w:rPr>
          <w:rFonts w:ascii="Times New Roman Bold" w:hAnsi="Times New Roman Bold"/>
          <w:b/>
          <w:sz w:val="22"/>
          <w:szCs w:val="22"/>
        </w:rPr>
        <w:fldChar w:fldCharType="end"/>
      </w:r>
      <w:r w:rsidR="0043024A">
        <w:rPr>
          <w:sz w:val="22"/>
          <w:szCs w:val="22"/>
        </w:rPr>
        <w:t xml:space="preserve"> </w:t>
      </w:r>
      <w:r w:rsidRPr="00EF6B10">
        <w:rPr>
          <w:sz w:val="22"/>
          <w:szCs w:val="22"/>
        </w:rPr>
        <w:t xml:space="preserve">and are used to satisfy the preconstruction monitoring requirements for PSD review contained in Rule 62-212.400(7), F.A.C. </w:t>
      </w:r>
      <w:r w:rsidR="00A55C44">
        <w:rPr>
          <w:sz w:val="22"/>
          <w:szCs w:val="22"/>
        </w:rPr>
        <w:t xml:space="preserve"> </w:t>
      </w:r>
      <w:r w:rsidRPr="00EF6B10">
        <w:rPr>
          <w:sz w:val="22"/>
          <w:szCs w:val="22"/>
        </w:rPr>
        <w:t xml:space="preserve">These monitors are the nearest monitors to the project site that </w:t>
      </w:r>
      <w:r w:rsidR="00F4735B" w:rsidRPr="00EF6B10">
        <w:rPr>
          <w:sz w:val="22"/>
          <w:szCs w:val="22"/>
        </w:rPr>
        <w:t>are in</w:t>
      </w:r>
      <w:r w:rsidRPr="00EF6B10">
        <w:rPr>
          <w:sz w:val="22"/>
          <w:szCs w:val="22"/>
        </w:rPr>
        <w:t xml:space="preserve"> a similar setting (consideration was given to proximity to coast and urban areas). </w:t>
      </w:r>
      <w:r w:rsidR="00A55C44">
        <w:rPr>
          <w:sz w:val="22"/>
          <w:szCs w:val="22"/>
        </w:rPr>
        <w:t xml:space="preserve"> </w:t>
      </w:r>
      <w:r w:rsidRPr="00EF6B10">
        <w:rPr>
          <w:sz w:val="22"/>
          <w:szCs w:val="22"/>
        </w:rPr>
        <w:t xml:space="preserve">Several of the chosen monitors are located near or downwind of urban Tampa, FL, providing conservative estimates for the project, which is located in a more rural area. Design values at these monitors are well below the applicable NAAQS.  </w:t>
      </w:r>
    </w:p>
    <w:p w:rsidR="0043024A" w:rsidRDefault="0043024A" w:rsidP="0043024A">
      <w:r>
        <w:br w:type="page"/>
      </w:r>
    </w:p>
    <w:p w:rsidR="00460F32" w:rsidRDefault="00802C3E" w:rsidP="00802C3E">
      <w:pPr>
        <w:pStyle w:val="Caption"/>
        <w:spacing w:before="0"/>
        <w:jc w:val="center"/>
      </w:pPr>
      <w:bookmarkStart w:id="79" w:name="_Ref513625919"/>
      <w:r>
        <w:t xml:space="preserve">Table </w:t>
      </w:r>
      <w:fldSimple w:instr=" SEQ Table \* ARABIC ">
        <w:r w:rsidR="007204D0">
          <w:rPr>
            <w:noProof/>
          </w:rPr>
          <w:t>19</w:t>
        </w:r>
      </w:fldSimple>
      <w:bookmarkEnd w:id="79"/>
      <w:r>
        <w:t xml:space="preserve"> - </w:t>
      </w:r>
      <w:r w:rsidR="00460F32" w:rsidRPr="00460F32">
        <w:t>CRITERIA POLLUTANT DESIGN VALUES FOR FLORIDA DEP AMBIENT AIR MONITOR CHOSEN TO CONSERVATIVELY CHARACTERTIZE THE PROJECT AREA.</w:t>
      </w:r>
    </w:p>
    <w:tbl>
      <w:tblPr>
        <w:tblW w:w="96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2"/>
        <w:gridCol w:w="2272"/>
        <w:gridCol w:w="1397"/>
        <w:gridCol w:w="1979"/>
        <w:gridCol w:w="786"/>
        <w:gridCol w:w="1115"/>
        <w:gridCol w:w="882"/>
      </w:tblGrid>
      <w:tr w:rsidR="00A364E6" w:rsidRPr="003A3B75" w:rsidTr="00CB10C8">
        <w:trPr>
          <w:cantSplit/>
          <w:trHeight w:val="270"/>
        </w:trPr>
        <w:tc>
          <w:tcPr>
            <w:tcW w:w="1222" w:type="dxa"/>
            <w:vMerge w:val="restart"/>
            <w:tcBorders>
              <w:top w:val="single" w:sz="12" w:space="0" w:color="auto"/>
              <w:left w:val="single" w:sz="12" w:space="0" w:color="auto"/>
              <w:bottom w:val="nil"/>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Pollutant</w:t>
            </w:r>
          </w:p>
        </w:tc>
        <w:tc>
          <w:tcPr>
            <w:tcW w:w="2272" w:type="dxa"/>
            <w:vMerge w:val="restart"/>
            <w:tcBorders>
              <w:top w:val="single" w:sz="12" w:space="0" w:color="auto"/>
              <w:left w:val="nil"/>
              <w:bottom w:val="nil"/>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Location</w:t>
            </w:r>
            <w:r w:rsidRPr="00CB29C5">
              <w:rPr>
                <w:b/>
                <w:bCs/>
              </w:rPr>
              <w:br/>
              <w:t>(Site Number)</w:t>
            </w:r>
          </w:p>
        </w:tc>
        <w:tc>
          <w:tcPr>
            <w:tcW w:w="1397" w:type="dxa"/>
            <w:vMerge w:val="restart"/>
            <w:tcBorders>
              <w:top w:val="single" w:sz="12" w:space="0" w:color="auto"/>
              <w:left w:val="nil"/>
              <w:bottom w:val="nil"/>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Averaging</w:t>
            </w:r>
            <w:r w:rsidRPr="00CB29C5">
              <w:rPr>
                <w:b/>
                <w:bCs/>
              </w:rPr>
              <w:br/>
              <w:t>Period</w:t>
            </w:r>
          </w:p>
        </w:tc>
        <w:tc>
          <w:tcPr>
            <w:tcW w:w="4760" w:type="dxa"/>
            <w:gridSpan w:val="4"/>
            <w:tcBorders>
              <w:top w:val="single" w:sz="12" w:space="0" w:color="auto"/>
              <w:left w:val="nil"/>
              <w:bottom w:val="nil"/>
              <w:right w:val="single" w:sz="12" w:space="0" w:color="auto"/>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Ambient Concentration</w:t>
            </w:r>
          </w:p>
        </w:tc>
      </w:tr>
      <w:tr w:rsidR="00A364E6" w:rsidRPr="003A3B75" w:rsidTr="00CB10C8">
        <w:trPr>
          <w:cantSplit/>
          <w:trHeight w:val="270"/>
        </w:trPr>
        <w:tc>
          <w:tcPr>
            <w:tcW w:w="1222" w:type="dxa"/>
            <w:vMerge/>
            <w:tcBorders>
              <w:top w:val="nil"/>
              <w:left w:val="single" w:sz="12" w:space="0" w:color="auto"/>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rPr>
                <w:b/>
                <w:bCs/>
              </w:rPr>
            </w:pPr>
          </w:p>
        </w:tc>
        <w:tc>
          <w:tcPr>
            <w:tcW w:w="2272" w:type="dxa"/>
            <w:vMerge/>
            <w:tcBorders>
              <w:top w:val="nil"/>
              <w:left w:val="nil"/>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rPr>
                <w:b/>
                <w:bCs/>
              </w:rPr>
            </w:pPr>
          </w:p>
        </w:tc>
        <w:tc>
          <w:tcPr>
            <w:tcW w:w="1397" w:type="dxa"/>
            <w:vMerge/>
            <w:tcBorders>
              <w:top w:val="nil"/>
              <w:left w:val="nil"/>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rPr>
                <w:b/>
                <w:bCs/>
              </w:rPr>
            </w:pPr>
          </w:p>
        </w:tc>
        <w:tc>
          <w:tcPr>
            <w:tcW w:w="1979" w:type="dxa"/>
            <w:tcBorders>
              <w:top w:val="nil"/>
              <w:left w:val="nil"/>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Compliance Period</w:t>
            </w:r>
          </w:p>
        </w:tc>
        <w:tc>
          <w:tcPr>
            <w:tcW w:w="786" w:type="dxa"/>
            <w:tcBorders>
              <w:top w:val="nil"/>
              <w:left w:val="nil"/>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Value</w:t>
            </w:r>
          </w:p>
        </w:tc>
        <w:tc>
          <w:tcPr>
            <w:tcW w:w="1115" w:type="dxa"/>
            <w:tcBorders>
              <w:top w:val="nil"/>
              <w:left w:val="nil"/>
              <w:bottom w:val="single" w:sz="12" w:space="0" w:color="auto"/>
              <w:right w:val="nil"/>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Standard</w:t>
            </w:r>
          </w:p>
        </w:tc>
        <w:tc>
          <w:tcPr>
            <w:tcW w:w="878" w:type="dxa"/>
            <w:tcBorders>
              <w:top w:val="nil"/>
              <w:left w:val="nil"/>
              <w:bottom w:val="single" w:sz="12" w:space="0" w:color="auto"/>
              <w:right w:val="single" w:sz="12" w:space="0" w:color="auto"/>
            </w:tcBorders>
            <w:shd w:val="clear" w:color="auto" w:fill="B8CCE4"/>
            <w:vAlign w:val="center"/>
          </w:tcPr>
          <w:p w:rsidR="00A364E6" w:rsidRPr="00CB29C5" w:rsidRDefault="00A364E6" w:rsidP="00C07663">
            <w:pPr>
              <w:keepNext/>
              <w:autoSpaceDE w:val="0"/>
              <w:autoSpaceDN w:val="0"/>
              <w:adjustRightInd w:val="0"/>
              <w:spacing w:before="20" w:after="20"/>
              <w:jc w:val="center"/>
              <w:rPr>
                <w:b/>
                <w:bCs/>
              </w:rPr>
            </w:pPr>
            <w:r w:rsidRPr="00CB29C5">
              <w:rPr>
                <w:b/>
                <w:bCs/>
              </w:rPr>
              <w:t>Units</w:t>
            </w:r>
            <w:r w:rsidRPr="00F04C61">
              <w:rPr>
                <w:b/>
                <w:bCs/>
                <w:vertAlign w:val="superscript"/>
              </w:rPr>
              <w:t>a</w:t>
            </w:r>
            <w:r w:rsidRPr="00CB29C5">
              <w:rPr>
                <w:b/>
                <w:bCs/>
              </w:rPr>
              <w:t xml:space="preserve"> </w:t>
            </w:r>
          </w:p>
        </w:tc>
      </w:tr>
      <w:tr w:rsidR="00A364E6" w:rsidRPr="003A3B75" w:rsidTr="00CB10C8">
        <w:trPr>
          <w:cantSplit/>
          <w:trHeight w:val="275"/>
        </w:trPr>
        <w:tc>
          <w:tcPr>
            <w:tcW w:w="1222" w:type="dxa"/>
            <w:vMerge w:val="restart"/>
            <w:tcBorders>
              <w:top w:val="single" w:sz="12" w:space="0" w:color="auto"/>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r w:rsidRPr="0048370D">
              <w:rPr>
                <w:bCs/>
              </w:rPr>
              <w:t>CO</w:t>
            </w:r>
          </w:p>
        </w:tc>
        <w:tc>
          <w:tcPr>
            <w:tcW w:w="2272" w:type="dxa"/>
            <w:tcBorders>
              <w:top w:val="single" w:sz="12" w:space="0" w:color="auto"/>
              <w:left w:val="nil"/>
              <w:bottom w:val="nil"/>
              <w:right w:val="nil"/>
            </w:tcBorders>
            <w:vAlign w:val="center"/>
          </w:tcPr>
          <w:p w:rsidR="00A364E6" w:rsidRPr="0001424F" w:rsidRDefault="00A364E6" w:rsidP="00C07663">
            <w:pPr>
              <w:keepNext/>
              <w:autoSpaceDE w:val="0"/>
              <w:autoSpaceDN w:val="0"/>
              <w:adjustRightInd w:val="0"/>
              <w:spacing w:before="20" w:after="20"/>
              <w:jc w:val="center"/>
              <w:rPr>
                <w:bCs/>
              </w:rPr>
            </w:pPr>
            <w:r>
              <w:rPr>
                <w:bCs/>
              </w:rPr>
              <w:t>Sydney</w:t>
            </w:r>
            <w:r w:rsidRPr="0001424F">
              <w:rPr>
                <w:bCs/>
              </w:rPr>
              <w:t>, FL</w:t>
            </w:r>
          </w:p>
        </w:tc>
        <w:tc>
          <w:tcPr>
            <w:tcW w:w="1397" w:type="dxa"/>
            <w:tcBorders>
              <w:top w:val="single" w:sz="12" w:space="0" w:color="auto"/>
              <w:left w:val="nil"/>
              <w:bottom w:val="nil"/>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1-hour</w:t>
            </w:r>
          </w:p>
        </w:tc>
        <w:tc>
          <w:tcPr>
            <w:tcW w:w="1979" w:type="dxa"/>
            <w:tcBorders>
              <w:top w:val="single" w:sz="12" w:space="0" w:color="auto"/>
              <w:left w:val="nil"/>
              <w:bottom w:val="nil"/>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2016</w:t>
            </w:r>
          </w:p>
        </w:tc>
        <w:tc>
          <w:tcPr>
            <w:tcW w:w="786" w:type="dxa"/>
            <w:tcBorders>
              <w:top w:val="single" w:sz="12" w:space="0" w:color="auto"/>
              <w:left w:val="nil"/>
              <w:bottom w:val="nil"/>
              <w:right w:val="nil"/>
            </w:tcBorders>
            <w:vAlign w:val="center"/>
          </w:tcPr>
          <w:p w:rsidR="00A364E6" w:rsidRPr="00854FEF" w:rsidRDefault="00A364E6" w:rsidP="00C07663">
            <w:pPr>
              <w:keepNext/>
              <w:autoSpaceDE w:val="0"/>
              <w:autoSpaceDN w:val="0"/>
              <w:adjustRightInd w:val="0"/>
              <w:spacing w:before="20" w:after="20"/>
              <w:jc w:val="center"/>
              <w:rPr>
                <w:highlight w:val="yellow"/>
                <w:vertAlign w:val="superscript"/>
              </w:rPr>
            </w:pPr>
            <w:r>
              <w:t>0.6</w:t>
            </w:r>
            <w:r>
              <w:rPr>
                <w:vertAlign w:val="superscript"/>
              </w:rPr>
              <w:t>b</w:t>
            </w:r>
          </w:p>
        </w:tc>
        <w:tc>
          <w:tcPr>
            <w:tcW w:w="1115" w:type="dxa"/>
            <w:tcBorders>
              <w:top w:val="single" w:sz="12" w:space="0" w:color="auto"/>
              <w:left w:val="nil"/>
              <w:bottom w:val="nil"/>
              <w:right w:val="nil"/>
            </w:tcBorders>
            <w:vAlign w:val="center"/>
          </w:tcPr>
          <w:p w:rsidR="00A364E6" w:rsidRPr="00854FEF" w:rsidRDefault="00A364E6" w:rsidP="00C07663">
            <w:pPr>
              <w:keepNext/>
              <w:autoSpaceDE w:val="0"/>
              <w:autoSpaceDN w:val="0"/>
              <w:adjustRightInd w:val="0"/>
              <w:spacing w:before="20" w:after="20"/>
              <w:jc w:val="center"/>
              <w:rPr>
                <w:highlight w:val="yellow"/>
                <w:vertAlign w:val="superscript"/>
              </w:rPr>
            </w:pPr>
            <w:r>
              <w:t>35</w:t>
            </w:r>
            <w:r>
              <w:rPr>
                <w:vertAlign w:val="superscript"/>
              </w:rPr>
              <w:t>c</w:t>
            </w:r>
          </w:p>
        </w:tc>
        <w:tc>
          <w:tcPr>
            <w:tcW w:w="878" w:type="dxa"/>
            <w:tcBorders>
              <w:top w:val="single" w:sz="12" w:space="0" w:color="auto"/>
              <w:left w:val="nil"/>
              <w:bottom w:val="nil"/>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ppm</w:t>
            </w:r>
          </w:p>
        </w:tc>
      </w:tr>
      <w:tr w:rsidR="00A364E6" w:rsidRPr="003A3B75" w:rsidTr="00CB10C8">
        <w:trPr>
          <w:cantSplit/>
          <w:trHeight w:val="275"/>
        </w:trPr>
        <w:tc>
          <w:tcPr>
            <w:tcW w:w="1222" w:type="dxa"/>
            <w:vMerge/>
            <w:tcBorders>
              <w:left w:val="single" w:sz="12" w:space="0" w:color="auto"/>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p>
        </w:tc>
        <w:tc>
          <w:tcPr>
            <w:tcW w:w="2272" w:type="dxa"/>
            <w:tcBorders>
              <w:top w:val="nil"/>
              <w:left w:val="nil"/>
              <w:bottom w:val="single" w:sz="4" w:space="0" w:color="auto"/>
              <w:right w:val="nil"/>
            </w:tcBorders>
            <w:vAlign w:val="center"/>
          </w:tcPr>
          <w:p w:rsidR="00A364E6" w:rsidRPr="0001424F" w:rsidRDefault="00A364E6" w:rsidP="00C07663">
            <w:pPr>
              <w:keepNext/>
              <w:autoSpaceDE w:val="0"/>
              <w:autoSpaceDN w:val="0"/>
              <w:adjustRightInd w:val="0"/>
              <w:spacing w:before="20" w:after="20"/>
              <w:jc w:val="center"/>
              <w:rPr>
                <w:bCs/>
              </w:rPr>
            </w:pPr>
            <w:r w:rsidRPr="0001424F">
              <w:rPr>
                <w:bCs/>
              </w:rPr>
              <w:t>(057-3002)</w:t>
            </w:r>
          </w:p>
        </w:tc>
        <w:tc>
          <w:tcPr>
            <w:tcW w:w="1397" w:type="dxa"/>
            <w:tcBorders>
              <w:top w:val="nil"/>
              <w:left w:val="nil"/>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8-hour</w:t>
            </w:r>
          </w:p>
        </w:tc>
        <w:tc>
          <w:tcPr>
            <w:tcW w:w="1979" w:type="dxa"/>
            <w:tcBorders>
              <w:top w:val="nil"/>
              <w:left w:val="nil"/>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2016</w:t>
            </w:r>
          </w:p>
        </w:tc>
        <w:tc>
          <w:tcPr>
            <w:tcW w:w="786" w:type="dxa"/>
            <w:tcBorders>
              <w:top w:val="nil"/>
              <w:left w:val="nil"/>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0.5</w:t>
            </w:r>
            <w:r w:rsidRPr="00854FEF">
              <w:rPr>
                <w:vertAlign w:val="superscript"/>
              </w:rPr>
              <w:t>b</w:t>
            </w:r>
          </w:p>
        </w:tc>
        <w:tc>
          <w:tcPr>
            <w:tcW w:w="1115" w:type="dxa"/>
            <w:tcBorders>
              <w:top w:val="nil"/>
              <w:left w:val="nil"/>
              <w:bottom w:val="single" w:sz="4" w:space="0" w:color="auto"/>
              <w:right w:val="nil"/>
            </w:tcBorders>
            <w:vAlign w:val="center"/>
          </w:tcPr>
          <w:p w:rsidR="00A364E6" w:rsidRPr="00854FEF" w:rsidRDefault="00A364E6" w:rsidP="00C07663">
            <w:pPr>
              <w:keepNext/>
              <w:autoSpaceDE w:val="0"/>
              <w:autoSpaceDN w:val="0"/>
              <w:adjustRightInd w:val="0"/>
              <w:spacing w:before="20" w:after="20"/>
              <w:jc w:val="center"/>
              <w:rPr>
                <w:highlight w:val="yellow"/>
                <w:vertAlign w:val="superscript"/>
              </w:rPr>
            </w:pPr>
            <w:r>
              <w:t>9</w:t>
            </w:r>
            <w:r>
              <w:rPr>
                <w:vertAlign w:val="superscript"/>
              </w:rPr>
              <w:t>c</w:t>
            </w:r>
          </w:p>
        </w:tc>
        <w:tc>
          <w:tcPr>
            <w:tcW w:w="878" w:type="dxa"/>
            <w:tcBorders>
              <w:top w:val="nil"/>
              <w:left w:val="nil"/>
              <w:bottom w:val="single" w:sz="4" w:space="0" w:color="auto"/>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ppm</w:t>
            </w:r>
          </w:p>
        </w:tc>
      </w:tr>
      <w:tr w:rsidR="00A364E6" w:rsidRPr="003A3B75" w:rsidTr="00CB10C8">
        <w:trPr>
          <w:cantSplit/>
          <w:trHeight w:val="275"/>
        </w:trPr>
        <w:tc>
          <w:tcPr>
            <w:tcW w:w="1222" w:type="dxa"/>
            <w:vMerge w:val="restart"/>
            <w:tcBorders>
              <w:top w:val="single" w:sz="4" w:space="0" w:color="auto"/>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r w:rsidRPr="0048370D">
              <w:rPr>
                <w:bCs/>
              </w:rPr>
              <w:t>NO</w:t>
            </w:r>
            <w:r w:rsidRPr="008153BB">
              <w:rPr>
                <w:bCs/>
                <w:vertAlign w:val="subscript"/>
              </w:rPr>
              <w:t>2</w:t>
            </w:r>
          </w:p>
        </w:tc>
        <w:tc>
          <w:tcPr>
            <w:tcW w:w="2272" w:type="dxa"/>
            <w:tcBorders>
              <w:top w:val="single" w:sz="4" w:space="0" w:color="auto"/>
              <w:left w:val="nil"/>
              <w:bottom w:val="nil"/>
              <w:right w:val="nil"/>
            </w:tcBorders>
            <w:vAlign w:val="center"/>
          </w:tcPr>
          <w:p w:rsidR="00A364E6" w:rsidRPr="00854FEF" w:rsidRDefault="00A364E6" w:rsidP="00C07663">
            <w:pPr>
              <w:keepNext/>
              <w:autoSpaceDE w:val="0"/>
              <w:autoSpaceDN w:val="0"/>
              <w:adjustRightInd w:val="0"/>
              <w:spacing w:before="20" w:after="20"/>
              <w:jc w:val="center"/>
              <w:rPr>
                <w:bCs/>
              </w:rPr>
            </w:pPr>
            <w:r w:rsidRPr="00854FEF">
              <w:rPr>
                <w:bCs/>
              </w:rPr>
              <w:t>Tampa, FL</w:t>
            </w:r>
          </w:p>
        </w:tc>
        <w:tc>
          <w:tcPr>
            <w:tcW w:w="1397" w:type="dxa"/>
            <w:tcBorders>
              <w:top w:val="single" w:sz="4" w:space="0" w:color="auto"/>
              <w:left w:val="nil"/>
              <w:bottom w:val="nil"/>
              <w:right w:val="nil"/>
            </w:tcBorders>
            <w:vAlign w:val="center"/>
          </w:tcPr>
          <w:p w:rsidR="00A364E6" w:rsidRPr="0048370D" w:rsidRDefault="00A364E6" w:rsidP="00C07663">
            <w:pPr>
              <w:keepNext/>
              <w:autoSpaceDE w:val="0"/>
              <w:autoSpaceDN w:val="0"/>
              <w:adjustRightInd w:val="0"/>
              <w:spacing w:before="20" w:after="20"/>
              <w:jc w:val="center"/>
            </w:pPr>
            <w:r w:rsidRPr="0048370D">
              <w:t>1-hour</w:t>
            </w:r>
          </w:p>
        </w:tc>
        <w:tc>
          <w:tcPr>
            <w:tcW w:w="1979" w:type="dxa"/>
            <w:tcBorders>
              <w:top w:val="single" w:sz="4" w:space="0" w:color="auto"/>
              <w:left w:val="nil"/>
              <w:bottom w:val="nil"/>
              <w:right w:val="nil"/>
            </w:tcBorders>
            <w:vAlign w:val="center"/>
          </w:tcPr>
          <w:p w:rsidR="00A364E6" w:rsidRPr="0048370D" w:rsidRDefault="00A364E6" w:rsidP="00C07663">
            <w:pPr>
              <w:keepNext/>
              <w:autoSpaceDE w:val="0"/>
              <w:autoSpaceDN w:val="0"/>
              <w:adjustRightInd w:val="0"/>
              <w:spacing w:before="20" w:after="20"/>
              <w:jc w:val="center"/>
            </w:pPr>
            <w:r w:rsidRPr="0048370D">
              <w:t>2014-2016</w:t>
            </w:r>
          </w:p>
        </w:tc>
        <w:tc>
          <w:tcPr>
            <w:tcW w:w="786" w:type="dxa"/>
            <w:tcBorders>
              <w:top w:val="single" w:sz="4" w:space="0" w:color="auto"/>
              <w:left w:val="nil"/>
              <w:bottom w:val="nil"/>
              <w:right w:val="nil"/>
            </w:tcBorders>
            <w:vAlign w:val="center"/>
          </w:tcPr>
          <w:p w:rsidR="00A364E6" w:rsidRPr="0048370D" w:rsidRDefault="00A364E6" w:rsidP="00C07663">
            <w:pPr>
              <w:keepNext/>
              <w:autoSpaceDE w:val="0"/>
              <w:autoSpaceDN w:val="0"/>
              <w:adjustRightInd w:val="0"/>
              <w:spacing w:before="20" w:after="20"/>
              <w:jc w:val="center"/>
            </w:pPr>
            <w:r w:rsidRPr="0048370D">
              <w:t>31</w:t>
            </w:r>
          </w:p>
        </w:tc>
        <w:tc>
          <w:tcPr>
            <w:tcW w:w="1115" w:type="dxa"/>
            <w:tcBorders>
              <w:top w:val="single" w:sz="4" w:space="0" w:color="auto"/>
              <w:left w:val="nil"/>
              <w:bottom w:val="nil"/>
              <w:right w:val="nil"/>
            </w:tcBorders>
            <w:vAlign w:val="center"/>
          </w:tcPr>
          <w:p w:rsidR="00A364E6" w:rsidRPr="00854FEF" w:rsidRDefault="00A364E6" w:rsidP="00C07663">
            <w:pPr>
              <w:keepNext/>
              <w:autoSpaceDE w:val="0"/>
              <w:autoSpaceDN w:val="0"/>
              <w:adjustRightInd w:val="0"/>
              <w:spacing w:before="20" w:after="20"/>
              <w:jc w:val="center"/>
              <w:rPr>
                <w:vertAlign w:val="superscript"/>
              </w:rPr>
            </w:pPr>
            <w:r w:rsidRPr="0048370D">
              <w:t>100</w:t>
            </w:r>
            <w:r>
              <w:rPr>
                <w:vertAlign w:val="superscript"/>
              </w:rPr>
              <w:t>d</w:t>
            </w:r>
          </w:p>
        </w:tc>
        <w:tc>
          <w:tcPr>
            <w:tcW w:w="878" w:type="dxa"/>
            <w:tcBorders>
              <w:top w:val="single" w:sz="4" w:space="0" w:color="auto"/>
              <w:left w:val="nil"/>
              <w:bottom w:val="nil"/>
              <w:right w:val="single" w:sz="12" w:space="0" w:color="auto"/>
            </w:tcBorders>
            <w:vAlign w:val="center"/>
          </w:tcPr>
          <w:p w:rsidR="00A364E6" w:rsidRPr="0048370D" w:rsidRDefault="00A364E6" w:rsidP="00C07663">
            <w:pPr>
              <w:keepNext/>
              <w:autoSpaceDE w:val="0"/>
              <w:autoSpaceDN w:val="0"/>
              <w:adjustRightInd w:val="0"/>
              <w:spacing w:before="20" w:after="20"/>
              <w:jc w:val="center"/>
            </w:pPr>
            <w:r w:rsidRPr="0048370D">
              <w:t>ppb</w:t>
            </w:r>
          </w:p>
        </w:tc>
      </w:tr>
      <w:tr w:rsidR="00A364E6" w:rsidRPr="003A3B75" w:rsidTr="00CB10C8">
        <w:trPr>
          <w:cantSplit/>
          <w:trHeight w:val="275"/>
        </w:trPr>
        <w:tc>
          <w:tcPr>
            <w:tcW w:w="1222" w:type="dxa"/>
            <w:vMerge/>
            <w:tcBorders>
              <w:left w:val="single" w:sz="12" w:space="0" w:color="auto"/>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p>
        </w:tc>
        <w:tc>
          <w:tcPr>
            <w:tcW w:w="2272" w:type="dxa"/>
            <w:tcBorders>
              <w:top w:val="nil"/>
              <w:left w:val="nil"/>
              <w:bottom w:val="single" w:sz="4" w:space="0" w:color="auto"/>
              <w:right w:val="nil"/>
            </w:tcBorders>
            <w:vAlign w:val="center"/>
          </w:tcPr>
          <w:p w:rsidR="00A364E6" w:rsidRPr="00854FEF" w:rsidRDefault="00A364E6" w:rsidP="00C07663">
            <w:pPr>
              <w:keepNext/>
              <w:autoSpaceDE w:val="0"/>
              <w:autoSpaceDN w:val="0"/>
              <w:adjustRightInd w:val="0"/>
              <w:spacing w:before="20" w:after="20"/>
              <w:jc w:val="center"/>
              <w:rPr>
                <w:bCs/>
              </w:rPr>
            </w:pPr>
            <w:r w:rsidRPr="00854FEF">
              <w:rPr>
                <w:bCs/>
              </w:rPr>
              <w:t>(057-1065)</w:t>
            </w:r>
          </w:p>
        </w:tc>
        <w:tc>
          <w:tcPr>
            <w:tcW w:w="1397"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r w:rsidRPr="0048370D">
              <w:t>Annual</w:t>
            </w:r>
          </w:p>
        </w:tc>
        <w:tc>
          <w:tcPr>
            <w:tcW w:w="1979"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r w:rsidRPr="0048370D">
              <w:t>2014-2016</w:t>
            </w:r>
          </w:p>
        </w:tc>
        <w:tc>
          <w:tcPr>
            <w:tcW w:w="786"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r w:rsidRPr="0048370D">
              <w:t>4.2</w:t>
            </w:r>
          </w:p>
        </w:tc>
        <w:tc>
          <w:tcPr>
            <w:tcW w:w="1115" w:type="dxa"/>
            <w:tcBorders>
              <w:top w:val="nil"/>
              <w:left w:val="nil"/>
              <w:bottom w:val="single" w:sz="4" w:space="0" w:color="auto"/>
              <w:right w:val="nil"/>
            </w:tcBorders>
            <w:vAlign w:val="center"/>
          </w:tcPr>
          <w:p w:rsidR="00A364E6" w:rsidRPr="00854FEF" w:rsidRDefault="00A364E6" w:rsidP="00C07663">
            <w:pPr>
              <w:keepNext/>
              <w:autoSpaceDE w:val="0"/>
              <w:autoSpaceDN w:val="0"/>
              <w:adjustRightInd w:val="0"/>
              <w:spacing w:before="20" w:after="20"/>
              <w:jc w:val="center"/>
              <w:rPr>
                <w:vertAlign w:val="superscript"/>
              </w:rPr>
            </w:pPr>
            <w:r w:rsidRPr="0048370D">
              <w:t>53</w:t>
            </w:r>
            <w:r>
              <w:rPr>
                <w:vertAlign w:val="superscript"/>
              </w:rPr>
              <w:t>e</w:t>
            </w:r>
          </w:p>
        </w:tc>
        <w:tc>
          <w:tcPr>
            <w:tcW w:w="878" w:type="dxa"/>
            <w:tcBorders>
              <w:top w:val="nil"/>
              <w:left w:val="nil"/>
              <w:bottom w:val="single" w:sz="4" w:space="0" w:color="auto"/>
              <w:right w:val="single" w:sz="12" w:space="0" w:color="auto"/>
            </w:tcBorders>
            <w:vAlign w:val="center"/>
          </w:tcPr>
          <w:p w:rsidR="00A364E6" w:rsidRPr="0048370D" w:rsidRDefault="00A364E6" w:rsidP="00C07663">
            <w:pPr>
              <w:keepNext/>
              <w:autoSpaceDE w:val="0"/>
              <w:autoSpaceDN w:val="0"/>
              <w:adjustRightInd w:val="0"/>
              <w:spacing w:before="20" w:after="20"/>
              <w:jc w:val="center"/>
            </w:pPr>
            <w:r w:rsidRPr="0048370D">
              <w:t>ppb</w:t>
            </w:r>
          </w:p>
        </w:tc>
      </w:tr>
      <w:tr w:rsidR="00A364E6" w:rsidRPr="003A3B75" w:rsidTr="00CB10C8">
        <w:trPr>
          <w:cantSplit/>
          <w:trHeight w:val="275"/>
        </w:trPr>
        <w:tc>
          <w:tcPr>
            <w:tcW w:w="1222" w:type="dxa"/>
            <w:vMerge w:val="restart"/>
            <w:tcBorders>
              <w:top w:val="single" w:sz="4" w:space="0" w:color="auto"/>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r w:rsidRPr="0048370D">
              <w:rPr>
                <w:bCs/>
              </w:rPr>
              <w:t>SO</w:t>
            </w:r>
            <w:r w:rsidRPr="008153BB">
              <w:rPr>
                <w:bCs/>
                <w:vertAlign w:val="subscript"/>
              </w:rPr>
              <w:t>2</w:t>
            </w:r>
          </w:p>
        </w:tc>
        <w:tc>
          <w:tcPr>
            <w:tcW w:w="2272" w:type="dxa"/>
            <w:vMerge w:val="restart"/>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bCs/>
              </w:rPr>
            </w:pPr>
            <w:r w:rsidRPr="007543A7">
              <w:rPr>
                <w:bCs/>
              </w:rPr>
              <w:t>Sydney, FL</w:t>
            </w:r>
          </w:p>
          <w:p w:rsidR="00A364E6" w:rsidRPr="007543A7" w:rsidRDefault="00A364E6" w:rsidP="00C07663">
            <w:pPr>
              <w:keepNext/>
              <w:autoSpaceDE w:val="0"/>
              <w:autoSpaceDN w:val="0"/>
              <w:adjustRightInd w:val="0"/>
              <w:spacing w:before="20" w:after="20"/>
              <w:jc w:val="center"/>
              <w:rPr>
                <w:bCs/>
              </w:rPr>
            </w:pPr>
            <w:r w:rsidRPr="007543A7">
              <w:rPr>
                <w:bCs/>
              </w:rPr>
              <w:t>(057-3002)</w:t>
            </w:r>
          </w:p>
        </w:tc>
        <w:tc>
          <w:tcPr>
            <w:tcW w:w="1397"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1-hour</w:t>
            </w:r>
          </w:p>
        </w:tc>
        <w:tc>
          <w:tcPr>
            <w:tcW w:w="1979"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2014-2016</w:t>
            </w:r>
          </w:p>
        </w:tc>
        <w:tc>
          <w:tcPr>
            <w:tcW w:w="786"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13</w:t>
            </w:r>
          </w:p>
        </w:tc>
        <w:tc>
          <w:tcPr>
            <w:tcW w:w="1115"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75</w:t>
            </w:r>
            <w:r w:rsidRPr="007543A7">
              <w:rPr>
                <w:vertAlign w:val="superscript"/>
              </w:rPr>
              <w:t>j</w:t>
            </w:r>
          </w:p>
        </w:tc>
        <w:tc>
          <w:tcPr>
            <w:tcW w:w="878" w:type="dxa"/>
            <w:tcBorders>
              <w:top w:val="single" w:sz="4" w:space="0" w:color="auto"/>
              <w:left w:val="nil"/>
              <w:bottom w:val="nil"/>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ppb</w:t>
            </w:r>
          </w:p>
        </w:tc>
      </w:tr>
      <w:tr w:rsidR="00A364E6" w:rsidRPr="003A3B75" w:rsidTr="00CB10C8">
        <w:trPr>
          <w:cantSplit/>
          <w:trHeight w:val="275"/>
        </w:trPr>
        <w:tc>
          <w:tcPr>
            <w:tcW w:w="1222" w:type="dxa"/>
            <w:vMerge/>
            <w:tcBorders>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p>
        </w:tc>
        <w:tc>
          <w:tcPr>
            <w:tcW w:w="2272" w:type="dxa"/>
            <w:vMerge/>
            <w:tcBorders>
              <w:top w:val="nil"/>
              <w:left w:val="nil"/>
              <w:bottom w:val="nil"/>
              <w:right w:val="nil"/>
            </w:tcBorders>
          </w:tcPr>
          <w:p w:rsidR="00A364E6" w:rsidRPr="007543A7" w:rsidRDefault="00A364E6" w:rsidP="00C07663">
            <w:pPr>
              <w:keepNext/>
              <w:autoSpaceDE w:val="0"/>
              <w:autoSpaceDN w:val="0"/>
              <w:adjustRightInd w:val="0"/>
              <w:spacing w:before="20" w:after="20"/>
              <w:jc w:val="center"/>
              <w:rPr>
                <w:bCs/>
              </w:rPr>
            </w:pPr>
          </w:p>
        </w:tc>
        <w:tc>
          <w:tcPr>
            <w:tcW w:w="1397"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24-hour</w:t>
            </w:r>
          </w:p>
        </w:tc>
        <w:tc>
          <w:tcPr>
            <w:tcW w:w="1979"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2016</w:t>
            </w:r>
          </w:p>
        </w:tc>
        <w:tc>
          <w:tcPr>
            <w:tcW w:w="786"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1</w:t>
            </w:r>
            <w:r w:rsidRPr="007543A7">
              <w:rPr>
                <w:vertAlign w:val="superscript"/>
              </w:rPr>
              <w:t>b</w:t>
            </w:r>
          </w:p>
        </w:tc>
        <w:tc>
          <w:tcPr>
            <w:tcW w:w="1115"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140</w:t>
            </w:r>
            <w:r w:rsidRPr="007543A7">
              <w:rPr>
                <w:vertAlign w:val="superscript"/>
              </w:rPr>
              <w:t>c</w:t>
            </w:r>
          </w:p>
        </w:tc>
        <w:tc>
          <w:tcPr>
            <w:tcW w:w="878" w:type="dxa"/>
            <w:tcBorders>
              <w:top w:val="nil"/>
              <w:left w:val="nil"/>
              <w:bottom w:val="nil"/>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ppb</w:t>
            </w:r>
          </w:p>
        </w:tc>
      </w:tr>
      <w:tr w:rsidR="00A364E6" w:rsidRPr="003A3B75" w:rsidTr="00CB10C8">
        <w:trPr>
          <w:cantSplit/>
          <w:trHeight w:val="275"/>
        </w:trPr>
        <w:tc>
          <w:tcPr>
            <w:tcW w:w="1222" w:type="dxa"/>
            <w:vMerge/>
            <w:tcBorders>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p>
        </w:tc>
        <w:tc>
          <w:tcPr>
            <w:tcW w:w="2272" w:type="dxa"/>
            <w:vMerge/>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rPr>
                <w:bCs/>
              </w:rPr>
            </w:pPr>
          </w:p>
        </w:tc>
        <w:tc>
          <w:tcPr>
            <w:tcW w:w="1397"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Annual</w:t>
            </w:r>
          </w:p>
        </w:tc>
        <w:tc>
          <w:tcPr>
            <w:tcW w:w="1979"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2016</w:t>
            </w:r>
          </w:p>
        </w:tc>
        <w:tc>
          <w:tcPr>
            <w:tcW w:w="786"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0.26</w:t>
            </w:r>
          </w:p>
        </w:tc>
        <w:tc>
          <w:tcPr>
            <w:tcW w:w="1115" w:type="dxa"/>
            <w:tcBorders>
              <w:top w:val="nil"/>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30</w:t>
            </w:r>
            <w:r w:rsidRPr="007543A7">
              <w:rPr>
                <w:vertAlign w:val="superscript"/>
              </w:rPr>
              <w:t>e</w:t>
            </w:r>
          </w:p>
        </w:tc>
        <w:tc>
          <w:tcPr>
            <w:tcW w:w="878" w:type="dxa"/>
            <w:tcBorders>
              <w:top w:val="nil"/>
              <w:left w:val="nil"/>
              <w:bottom w:val="nil"/>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ppb</w:t>
            </w:r>
          </w:p>
        </w:tc>
      </w:tr>
      <w:tr w:rsidR="00A364E6" w:rsidRPr="003A3B75" w:rsidTr="00CB10C8">
        <w:trPr>
          <w:cantSplit/>
          <w:trHeight w:val="275"/>
        </w:trPr>
        <w:tc>
          <w:tcPr>
            <w:tcW w:w="1222" w:type="dxa"/>
            <w:vMerge w:val="restart"/>
            <w:tcBorders>
              <w:top w:val="nil"/>
              <w:left w:val="single" w:sz="12" w:space="0" w:color="auto"/>
              <w:right w:val="nil"/>
            </w:tcBorders>
            <w:vAlign w:val="center"/>
          </w:tcPr>
          <w:p w:rsidR="00A364E6" w:rsidRPr="007543A7" w:rsidRDefault="00A364E6" w:rsidP="00C07663">
            <w:pPr>
              <w:keepNext/>
              <w:autoSpaceDE w:val="0"/>
              <w:autoSpaceDN w:val="0"/>
              <w:adjustRightInd w:val="0"/>
              <w:spacing w:before="20" w:after="20"/>
              <w:jc w:val="center"/>
              <w:rPr>
                <w:bCs/>
              </w:rPr>
            </w:pPr>
            <w:r w:rsidRPr="007543A7">
              <w:rPr>
                <w:bCs/>
              </w:rPr>
              <w:t>PM</w:t>
            </w:r>
            <w:r w:rsidRPr="007543A7">
              <w:rPr>
                <w:bCs/>
                <w:vertAlign w:val="subscript"/>
              </w:rPr>
              <w:t>10</w:t>
            </w:r>
          </w:p>
        </w:tc>
        <w:tc>
          <w:tcPr>
            <w:tcW w:w="2272"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bCs/>
              </w:rPr>
            </w:pPr>
            <w:r w:rsidRPr="007543A7">
              <w:rPr>
                <w:bCs/>
              </w:rPr>
              <w:t>Azalea Park, FL</w:t>
            </w:r>
          </w:p>
        </w:tc>
        <w:tc>
          <w:tcPr>
            <w:tcW w:w="1397" w:type="dxa"/>
            <w:vMerge w:val="restart"/>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24-hour</w:t>
            </w:r>
          </w:p>
        </w:tc>
        <w:tc>
          <w:tcPr>
            <w:tcW w:w="1979" w:type="dxa"/>
            <w:vMerge w:val="restart"/>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rsidRPr="007543A7">
              <w:t>2016</w:t>
            </w:r>
          </w:p>
        </w:tc>
        <w:tc>
          <w:tcPr>
            <w:tcW w:w="786" w:type="dxa"/>
            <w:vMerge w:val="restart"/>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24</w:t>
            </w:r>
            <w:r w:rsidRPr="007543A7">
              <w:rPr>
                <w:vertAlign w:val="superscript"/>
              </w:rPr>
              <w:t>b</w:t>
            </w:r>
          </w:p>
        </w:tc>
        <w:tc>
          <w:tcPr>
            <w:tcW w:w="1115" w:type="dxa"/>
            <w:vMerge w:val="restart"/>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150</w:t>
            </w:r>
            <w:r w:rsidRPr="007543A7">
              <w:rPr>
                <w:vertAlign w:val="superscript"/>
              </w:rPr>
              <w:t>g</w:t>
            </w:r>
          </w:p>
        </w:tc>
        <w:tc>
          <w:tcPr>
            <w:tcW w:w="878" w:type="dxa"/>
            <w:vMerge w:val="restart"/>
            <w:tcBorders>
              <w:top w:val="single" w:sz="4" w:space="0" w:color="auto"/>
              <w:left w:val="nil"/>
              <w:bottom w:val="nil"/>
              <w:right w:val="single" w:sz="12" w:space="0" w:color="auto"/>
            </w:tcBorders>
            <w:vAlign w:val="center"/>
          </w:tcPr>
          <w:p w:rsidR="00A364E6" w:rsidRPr="007543A7" w:rsidRDefault="00A364E6" w:rsidP="00C07663">
            <w:pPr>
              <w:keepNext/>
              <w:autoSpaceDE w:val="0"/>
              <w:autoSpaceDN w:val="0"/>
              <w:adjustRightInd w:val="0"/>
              <w:spacing w:before="20" w:after="20"/>
              <w:jc w:val="center"/>
            </w:pPr>
            <w:r w:rsidRPr="007543A7">
              <w:t>µg/m</w:t>
            </w:r>
            <w:r w:rsidRPr="007543A7">
              <w:rPr>
                <w:vertAlign w:val="superscript"/>
              </w:rPr>
              <w:t>3</w:t>
            </w:r>
          </w:p>
        </w:tc>
      </w:tr>
      <w:tr w:rsidR="00A364E6" w:rsidRPr="003A3B75" w:rsidTr="00CB10C8">
        <w:trPr>
          <w:cantSplit/>
          <w:trHeight w:val="274"/>
        </w:trPr>
        <w:tc>
          <w:tcPr>
            <w:tcW w:w="1222" w:type="dxa"/>
            <w:vMerge/>
            <w:tcBorders>
              <w:left w:val="single" w:sz="12" w:space="0" w:color="auto"/>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p>
        </w:tc>
        <w:tc>
          <w:tcPr>
            <w:tcW w:w="2272"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rPr>
                <w:bCs/>
                <w:highlight w:val="yellow"/>
              </w:rPr>
            </w:pPr>
            <w:r w:rsidRPr="007543A7">
              <w:rPr>
                <w:bCs/>
              </w:rPr>
              <w:t>(103-0018)</w:t>
            </w:r>
          </w:p>
        </w:tc>
        <w:tc>
          <w:tcPr>
            <w:tcW w:w="1397" w:type="dxa"/>
            <w:vMerge/>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p>
        </w:tc>
        <w:tc>
          <w:tcPr>
            <w:tcW w:w="1979" w:type="dxa"/>
            <w:vMerge/>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p>
        </w:tc>
        <w:tc>
          <w:tcPr>
            <w:tcW w:w="786" w:type="dxa"/>
            <w:vMerge/>
            <w:tcBorders>
              <w:top w:val="nil"/>
              <w:left w:val="nil"/>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1115" w:type="dxa"/>
            <w:vMerge/>
            <w:tcBorders>
              <w:top w:val="nil"/>
              <w:left w:val="nil"/>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878" w:type="dxa"/>
            <w:vMerge/>
            <w:tcBorders>
              <w:top w:val="nil"/>
              <w:left w:val="nil"/>
              <w:bottom w:val="single" w:sz="4" w:space="0" w:color="auto"/>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p>
        </w:tc>
      </w:tr>
      <w:tr w:rsidR="00A364E6" w:rsidRPr="003A3B75" w:rsidTr="00CB10C8">
        <w:trPr>
          <w:cantSplit/>
          <w:trHeight w:val="275"/>
        </w:trPr>
        <w:tc>
          <w:tcPr>
            <w:tcW w:w="1222" w:type="dxa"/>
            <w:vMerge w:val="restart"/>
            <w:tcBorders>
              <w:top w:val="single" w:sz="4" w:space="0" w:color="auto"/>
              <w:left w:val="single" w:sz="12" w:space="0" w:color="auto"/>
              <w:right w:val="nil"/>
            </w:tcBorders>
            <w:vAlign w:val="center"/>
          </w:tcPr>
          <w:p w:rsidR="00A364E6" w:rsidRPr="0048370D" w:rsidRDefault="00A364E6" w:rsidP="00C07663">
            <w:pPr>
              <w:keepNext/>
              <w:autoSpaceDE w:val="0"/>
              <w:autoSpaceDN w:val="0"/>
              <w:adjustRightInd w:val="0"/>
              <w:spacing w:before="20" w:after="20"/>
              <w:jc w:val="center"/>
              <w:rPr>
                <w:bCs/>
              </w:rPr>
            </w:pPr>
            <w:r w:rsidRPr="0048370D">
              <w:rPr>
                <w:bCs/>
              </w:rPr>
              <w:t>PM</w:t>
            </w:r>
            <w:r w:rsidRPr="0048370D">
              <w:rPr>
                <w:bCs/>
                <w:vertAlign w:val="subscript"/>
              </w:rPr>
              <w:t>2.5</w:t>
            </w:r>
          </w:p>
        </w:tc>
        <w:tc>
          <w:tcPr>
            <w:tcW w:w="2272" w:type="dxa"/>
            <w:tcBorders>
              <w:top w:val="single" w:sz="4" w:space="0" w:color="auto"/>
              <w:left w:val="nil"/>
              <w:bottom w:val="nil"/>
              <w:right w:val="nil"/>
            </w:tcBorders>
            <w:vAlign w:val="center"/>
          </w:tcPr>
          <w:p w:rsidR="00A364E6" w:rsidRPr="00CC1830" w:rsidRDefault="00A364E6" w:rsidP="00C07663">
            <w:pPr>
              <w:keepNext/>
              <w:autoSpaceDE w:val="0"/>
              <w:autoSpaceDN w:val="0"/>
              <w:adjustRightInd w:val="0"/>
              <w:spacing w:before="20" w:after="20"/>
              <w:jc w:val="center"/>
              <w:rPr>
                <w:bCs/>
              </w:rPr>
            </w:pPr>
            <w:r w:rsidRPr="00CC1830">
              <w:rPr>
                <w:bCs/>
              </w:rPr>
              <w:t>Azalea Park, FL</w:t>
            </w:r>
          </w:p>
        </w:tc>
        <w:tc>
          <w:tcPr>
            <w:tcW w:w="1397" w:type="dxa"/>
            <w:tcBorders>
              <w:top w:val="single" w:sz="4" w:space="0" w:color="auto"/>
              <w:left w:val="nil"/>
              <w:bottom w:val="nil"/>
              <w:right w:val="nil"/>
            </w:tcBorders>
            <w:vAlign w:val="center"/>
          </w:tcPr>
          <w:p w:rsidR="00A364E6" w:rsidRPr="0048370D" w:rsidRDefault="00A364E6" w:rsidP="00C07663">
            <w:pPr>
              <w:keepNext/>
              <w:autoSpaceDE w:val="0"/>
              <w:autoSpaceDN w:val="0"/>
              <w:adjustRightInd w:val="0"/>
              <w:spacing w:before="20" w:after="20"/>
              <w:jc w:val="center"/>
            </w:pPr>
            <w:r w:rsidRPr="0048370D">
              <w:t>24-hour</w:t>
            </w:r>
          </w:p>
        </w:tc>
        <w:tc>
          <w:tcPr>
            <w:tcW w:w="1979" w:type="dxa"/>
            <w:tcBorders>
              <w:top w:val="single" w:sz="4" w:space="0" w:color="auto"/>
              <w:left w:val="nil"/>
              <w:bottom w:val="nil"/>
              <w:right w:val="nil"/>
            </w:tcBorders>
            <w:vAlign w:val="center"/>
          </w:tcPr>
          <w:p w:rsidR="00A364E6" w:rsidRPr="0048370D" w:rsidRDefault="00A364E6" w:rsidP="00C07663">
            <w:pPr>
              <w:keepNext/>
              <w:autoSpaceDE w:val="0"/>
              <w:autoSpaceDN w:val="0"/>
              <w:adjustRightInd w:val="0"/>
              <w:spacing w:before="20" w:after="20"/>
              <w:jc w:val="center"/>
            </w:pPr>
            <w:r w:rsidRPr="0048370D">
              <w:t>2014-2016</w:t>
            </w:r>
          </w:p>
        </w:tc>
        <w:tc>
          <w:tcPr>
            <w:tcW w:w="786"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pPr>
            <w:r>
              <w:t>15</w:t>
            </w:r>
          </w:p>
        </w:tc>
        <w:tc>
          <w:tcPr>
            <w:tcW w:w="1115" w:type="dxa"/>
            <w:tcBorders>
              <w:top w:val="single" w:sz="4" w:space="0" w:color="auto"/>
              <w:left w:val="nil"/>
              <w:bottom w:val="nil"/>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35</w:t>
            </w:r>
            <w:r w:rsidRPr="007543A7">
              <w:rPr>
                <w:vertAlign w:val="superscript"/>
              </w:rPr>
              <w:t>h</w:t>
            </w:r>
          </w:p>
        </w:tc>
        <w:tc>
          <w:tcPr>
            <w:tcW w:w="878" w:type="dxa"/>
            <w:tcBorders>
              <w:top w:val="single" w:sz="4" w:space="0" w:color="auto"/>
              <w:left w:val="nil"/>
              <w:bottom w:val="nil"/>
              <w:right w:val="single" w:sz="12" w:space="0" w:color="auto"/>
            </w:tcBorders>
            <w:vAlign w:val="center"/>
          </w:tcPr>
          <w:p w:rsidR="00A364E6" w:rsidRPr="007543A7" w:rsidRDefault="00A364E6" w:rsidP="00C07663">
            <w:pPr>
              <w:keepNext/>
              <w:autoSpaceDE w:val="0"/>
              <w:autoSpaceDN w:val="0"/>
              <w:adjustRightInd w:val="0"/>
              <w:spacing w:before="20" w:after="20"/>
              <w:jc w:val="center"/>
            </w:pPr>
            <w:r w:rsidRPr="007543A7">
              <w:t>µg/m</w:t>
            </w:r>
            <w:r w:rsidRPr="007543A7">
              <w:rPr>
                <w:vertAlign w:val="superscript"/>
              </w:rPr>
              <w:t>3</w:t>
            </w:r>
          </w:p>
        </w:tc>
      </w:tr>
      <w:tr w:rsidR="00A364E6" w:rsidRPr="003A3B75" w:rsidTr="00CB10C8">
        <w:trPr>
          <w:cantSplit/>
          <w:trHeight w:val="274"/>
        </w:trPr>
        <w:tc>
          <w:tcPr>
            <w:tcW w:w="1222" w:type="dxa"/>
            <w:vMerge/>
            <w:tcBorders>
              <w:left w:val="single" w:sz="12" w:space="0" w:color="auto"/>
              <w:bottom w:val="single" w:sz="4" w:space="0" w:color="auto"/>
              <w:right w:val="nil"/>
            </w:tcBorders>
            <w:vAlign w:val="center"/>
          </w:tcPr>
          <w:p w:rsidR="00A364E6" w:rsidRPr="00A132D4" w:rsidRDefault="00A364E6" w:rsidP="00C07663">
            <w:pPr>
              <w:keepNext/>
              <w:autoSpaceDE w:val="0"/>
              <w:autoSpaceDN w:val="0"/>
              <w:adjustRightInd w:val="0"/>
              <w:spacing w:before="20" w:after="20"/>
              <w:jc w:val="center"/>
              <w:rPr>
                <w:bCs/>
                <w:highlight w:val="yellow"/>
              </w:rPr>
            </w:pPr>
          </w:p>
        </w:tc>
        <w:tc>
          <w:tcPr>
            <w:tcW w:w="2272" w:type="dxa"/>
            <w:tcBorders>
              <w:top w:val="nil"/>
              <w:left w:val="nil"/>
              <w:bottom w:val="single" w:sz="4" w:space="0" w:color="auto"/>
              <w:right w:val="nil"/>
            </w:tcBorders>
            <w:vAlign w:val="center"/>
          </w:tcPr>
          <w:p w:rsidR="00A364E6" w:rsidRPr="00CC1830" w:rsidRDefault="00A364E6" w:rsidP="00C07663">
            <w:pPr>
              <w:keepNext/>
              <w:autoSpaceDE w:val="0"/>
              <w:autoSpaceDN w:val="0"/>
              <w:adjustRightInd w:val="0"/>
              <w:spacing w:before="20" w:after="20"/>
              <w:jc w:val="center"/>
              <w:rPr>
                <w:bCs/>
              </w:rPr>
            </w:pPr>
            <w:r w:rsidRPr="00CC1830">
              <w:rPr>
                <w:bCs/>
              </w:rPr>
              <w:t>(103-0018)</w:t>
            </w:r>
          </w:p>
        </w:tc>
        <w:tc>
          <w:tcPr>
            <w:tcW w:w="1397"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r w:rsidRPr="0048370D">
              <w:t>Annual</w:t>
            </w:r>
          </w:p>
        </w:tc>
        <w:tc>
          <w:tcPr>
            <w:tcW w:w="1979" w:type="dxa"/>
            <w:tcBorders>
              <w:top w:val="nil"/>
              <w:left w:val="nil"/>
              <w:bottom w:val="single" w:sz="4" w:space="0" w:color="auto"/>
              <w:right w:val="nil"/>
            </w:tcBorders>
            <w:vAlign w:val="center"/>
          </w:tcPr>
          <w:p w:rsidR="00A364E6" w:rsidRPr="0048370D" w:rsidRDefault="00A364E6" w:rsidP="00C07663">
            <w:pPr>
              <w:keepNext/>
              <w:autoSpaceDE w:val="0"/>
              <w:autoSpaceDN w:val="0"/>
              <w:adjustRightInd w:val="0"/>
              <w:spacing w:before="20" w:after="20"/>
              <w:jc w:val="center"/>
            </w:pPr>
            <w:r w:rsidRPr="0048370D">
              <w:t>2014-2016</w:t>
            </w:r>
          </w:p>
        </w:tc>
        <w:tc>
          <w:tcPr>
            <w:tcW w:w="786" w:type="dxa"/>
            <w:tcBorders>
              <w:top w:val="nil"/>
              <w:left w:val="nil"/>
              <w:bottom w:val="single" w:sz="4" w:space="0" w:color="auto"/>
              <w:right w:val="nil"/>
            </w:tcBorders>
            <w:vAlign w:val="center"/>
          </w:tcPr>
          <w:p w:rsidR="00A364E6" w:rsidRPr="007543A7" w:rsidRDefault="00A364E6" w:rsidP="00C07663">
            <w:pPr>
              <w:keepNext/>
              <w:autoSpaceDE w:val="0"/>
              <w:autoSpaceDN w:val="0"/>
              <w:adjustRightInd w:val="0"/>
              <w:spacing w:before="20" w:after="20"/>
              <w:jc w:val="center"/>
            </w:pPr>
            <w:r>
              <w:t>6.7</w:t>
            </w:r>
          </w:p>
        </w:tc>
        <w:tc>
          <w:tcPr>
            <w:tcW w:w="1115" w:type="dxa"/>
            <w:tcBorders>
              <w:top w:val="nil"/>
              <w:left w:val="nil"/>
              <w:bottom w:val="single" w:sz="4" w:space="0" w:color="auto"/>
              <w:right w:val="nil"/>
            </w:tcBorders>
            <w:vAlign w:val="center"/>
          </w:tcPr>
          <w:p w:rsidR="00A364E6" w:rsidRPr="007543A7" w:rsidRDefault="00A364E6" w:rsidP="00C07663">
            <w:pPr>
              <w:keepNext/>
              <w:autoSpaceDE w:val="0"/>
              <w:autoSpaceDN w:val="0"/>
              <w:adjustRightInd w:val="0"/>
              <w:spacing w:before="20" w:after="20"/>
              <w:jc w:val="center"/>
              <w:rPr>
                <w:vertAlign w:val="superscript"/>
              </w:rPr>
            </w:pPr>
            <w:r w:rsidRPr="007543A7">
              <w:t>12.0</w:t>
            </w:r>
            <w:r w:rsidRPr="007543A7">
              <w:rPr>
                <w:vertAlign w:val="superscript"/>
              </w:rPr>
              <w:t>i</w:t>
            </w:r>
          </w:p>
        </w:tc>
        <w:tc>
          <w:tcPr>
            <w:tcW w:w="878" w:type="dxa"/>
            <w:tcBorders>
              <w:top w:val="nil"/>
              <w:left w:val="nil"/>
              <w:bottom w:val="single" w:sz="4" w:space="0" w:color="auto"/>
              <w:right w:val="single" w:sz="12" w:space="0" w:color="auto"/>
            </w:tcBorders>
            <w:vAlign w:val="center"/>
          </w:tcPr>
          <w:p w:rsidR="00A364E6" w:rsidRPr="007543A7" w:rsidRDefault="00A364E6" w:rsidP="00C07663">
            <w:pPr>
              <w:keepNext/>
              <w:autoSpaceDE w:val="0"/>
              <w:autoSpaceDN w:val="0"/>
              <w:adjustRightInd w:val="0"/>
              <w:spacing w:before="20" w:after="20"/>
              <w:jc w:val="center"/>
            </w:pPr>
            <w:r w:rsidRPr="007543A7">
              <w:t>µg/m</w:t>
            </w:r>
            <w:r w:rsidRPr="007543A7">
              <w:rPr>
                <w:vertAlign w:val="superscript"/>
              </w:rPr>
              <w:t>3</w:t>
            </w:r>
          </w:p>
        </w:tc>
      </w:tr>
      <w:tr w:rsidR="00A364E6" w:rsidRPr="003A3B75" w:rsidTr="00CB10C8">
        <w:trPr>
          <w:cantSplit/>
          <w:trHeight w:val="274"/>
        </w:trPr>
        <w:tc>
          <w:tcPr>
            <w:tcW w:w="1222" w:type="dxa"/>
            <w:vMerge w:val="restart"/>
            <w:tcBorders>
              <w:top w:val="single" w:sz="4" w:space="0" w:color="auto"/>
              <w:left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bCs/>
                <w:highlight w:val="yellow"/>
              </w:rPr>
            </w:pPr>
            <w:r>
              <w:rPr>
                <w:bCs/>
              </w:rPr>
              <w:t>Ozone</w:t>
            </w:r>
          </w:p>
        </w:tc>
        <w:tc>
          <w:tcPr>
            <w:tcW w:w="2272" w:type="dxa"/>
            <w:tcBorders>
              <w:top w:val="single" w:sz="4" w:space="0" w:color="auto"/>
              <w:left w:val="nil"/>
              <w:bottom w:val="nil"/>
              <w:right w:val="nil"/>
            </w:tcBorders>
            <w:vAlign w:val="center"/>
          </w:tcPr>
          <w:p w:rsidR="00A364E6" w:rsidRPr="00CC1830" w:rsidRDefault="00A364E6" w:rsidP="00C07663">
            <w:pPr>
              <w:keepNext/>
              <w:autoSpaceDE w:val="0"/>
              <w:autoSpaceDN w:val="0"/>
              <w:adjustRightInd w:val="0"/>
              <w:spacing w:before="20" w:after="20"/>
              <w:jc w:val="center"/>
              <w:rPr>
                <w:bCs/>
              </w:rPr>
            </w:pPr>
            <w:r w:rsidRPr="00CC1830">
              <w:rPr>
                <w:bCs/>
              </w:rPr>
              <w:t>San Antonio, FL</w:t>
            </w:r>
          </w:p>
        </w:tc>
        <w:tc>
          <w:tcPr>
            <w:tcW w:w="1397" w:type="dxa"/>
            <w:vMerge w:val="restart"/>
            <w:tcBorders>
              <w:top w:val="single" w:sz="4" w:space="0" w:color="auto"/>
              <w:left w:val="nil"/>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8-hour</w:t>
            </w:r>
          </w:p>
        </w:tc>
        <w:tc>
          <w:tcPr>
            <w:tcW w:w="1979" w:type="dxa"/>
            <w:vMerge w:val="restart"/>
            <w:tcBorders>
              <w:top w:val="single" w:sz="4" w:space="0" w:color="auto"/>
              <w:left w:val="nil"/>
              <w:right w:val="nil"/>
            </w:tcBorders>
            <w:vAlign w:val="center"/>
          </w:tcPr>
          <w:p w:rsidR="00A364E6" w:rsidRPr="0048370D" w:rsidRDefault="00A364E6" w:rsidP="00C07663">
            <w:pPr>
              <w:keepNext/>
              <w:autoSpaceDE w:val="0"/>
              <w:autoSpaceDN w:val="0"/>
              <w:adjustRightInd w:val="0"/>
              <w:spacing w:before="20" w:after="20"/>
              <w:jc w:val="center"/>
            </w:pPr>
            <w:r w:rsidRPr="0048370D">
              <w:t>2014-2016</w:t>
            </w:r>
          </w:p>
        </w:tc>
        <w:tc>
          <w:tcPr>
            <w:tcW w:w="786" w:type="dxa"/>
            <w:vMerge w:val="restart"/>
            <w:tcBorders>
              <w:top w:val="single" w:sz="4" w:space="0" w:color="auto"/>
              <w:left w:val="nil"/>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0.061</w:t>
            </w:r>
          </w:p>
        </w:tc>
        <w:tc>
          <w:tcPr>
            <w:tcW w:w="1115" w:type="dxa"/>
            <w:vMerge w:val="restart"/>
            <w:tcBorders>
              <w:top w:val="single" w:sz="4" w:space="0" w:color="auto"/>
              <w:left w:val="nil"/>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r>
              <w:t>0.070</w:t>
            </w:r>
            <w:r>
              <w:rPr>
                <w:vertAlign w:val="superscript"/>
              </w:rPr>
              <w:t>f</w:t>
            </w:r>
          </w:p>
        </w:tc>
        <w:tc>
          <w:tcPr>
            <w:tcW w:w="878" w:type="dxa"/>
            <w:vMerge w:val="restart"/>
            <w:tcBorders>
              <w:top w:val="single" w:sz="4" w:space="0" w:color="auto"/>
              <w:left w:val="nil"/>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r>
              <w:t>ppm</w:t>
            </w:r>
          </w:p>
        </w:tc>
      </w:tr>
      <w:tr w:rsidR="00A364E6" w:rsidRPr="003A3B75" w:rsidTr="00CB10C8">
        <w:trPr>
          <w:cantSplit/>
          <w:trHeight w:val="274"/>
        </w:trPr>
        <w:tc>
          <w:tcPr>
            <w:tcW w:w="1222" w:type="dxa"/>
            <w:vMerge/>
            <w:tcBorders>
              <w:left w:val="single" w:sz="12" w:space="0" w:color="auto"/>
              <w:bottom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bCs/>
                <w:highlight w:val="yellow"/>
              </w:rPr>
            </w:pPr>
          </w:p>
        </w:tc>
        <w:tc>
          <w:tcPr>
            <w:tcW w:w="2272" w:type="dxa"/>
            <w:tcBorders>
              <w:top w:val="nil"/>
              <w:left w:val="nil"/>
              <w:bottom w:val="single" w:sz="12" w:space="0" w:color="auto"/>
              <w:right w:val="nil"/>
            </w:tcBorders>
            <w:vAlign w:val="center"/>
          </w:tcPr>
          <w:p w:rsidR="00A364E6" w:rsidRPr="00CC1830" w:rsidRDefault="00A364E6" w:rsidP="00C07663">
            <w:pPr>
              <w:keepNext/>
              <w:autoSpaceDE w:val="0"/>
              <w:autoSpaceDN w:val="0"/>
              <w:adjustRightInd w:val="0"/>
              <w:spacing w:before="20" w:after="20"/>
              <w:jc w:val="center"/>
              <w:rPr>
                <w:bCs/>
              </w:rPr>
            </w:pPr>
            <w:r w:rsidRPr="00CC1830">
              <w:rPr>
                <w:bCs/>
              </w:rPr>
              <w:t>(101-0005)</w:t>
            </w:r>
          </w:p>
        </w:tc>
        <w:tc>
          <w:tcPr>
            <w:tcW w:w="1397" w:type="dxa"/>
            <w:vMerge/>
            <w:tcBorders>
              <w:left w:val="nil"/>
              <w:bottom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1979" w:type="dxa"/>
            <w:vMerge/>
            <w:tcBorders>
              <w:left w:val="nil"/>
              <w:bottom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786" w:type="dxa"/>
            <w:vMerge/>
            <w:tcBorders>
              <w:left w:val="nil"/>
              <w:bottom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1115" w:type="dxa"/>
            <w:vMerge/>
            <w:tcBorders>
              <w:left w:val="nil"/>
              <w:bottom w:val="single" w:sz="12" w:space="0" w:color="auto"/>
              <w:right w:val="nil"/>
            </w:tcBorders>
            <w:vAlign w:val="center"/>
          </w:tcPr>
          <w:p w:rsidR="00A364E6" w:rsidRPr="00A132D4" w:rsidRDefault="00A364E6" w:rsidP="00C07663">
            <w:pPr>
              <w:keepNext/>
              <w:autoSpaceDE w:val="0"/>
              <w:autoSpaceDN w:val="0"/>
              <w:adjustRightInd w:val="0"/>
              <w:spacing w:before="20" w:after="20"/>
              <w:jc w:val="center"/>
              <w:rPr>
                <w:highlight w:val="yellow"/>
              </w:rPr>
            </w:pPr>
          </w:p>
        </w:tc>
        <w:tc>
          <w:tcPr>
            <w:tcW w:w="878" w:type="dxa"/>
            <w:vMerge/>
            <w:tcBorders>
              <w:left w:val="nil"/>
              <w:bottom w:val="single" w:sz="12" w:space="0" w:color="auto"/>
              <w:right w:val="single" w:sz="12" w:space="0" w:color="auto"/>
            </w:tcBorders>
            <w:vAlign w:val="center"/>
          </w:tcPr>
          <w:p w:rsidR="00A364E6" w:rsidRPr="00A132D4" w:rsidRDefault="00A364E6" w:rsidP="00C07663">
            <w:pPr>
              <w:keepNext/>
              <w:autoSpaceDE w:val="0"/>
              <w:autoSpaceDN w:val="0"/>
              <w:adjustRightInd w:val="0"/>
              <w:spacing w:before="20" w:after="20"/>
              <w:jc w:val="center"/>
              <w:rPr>
                <w:highlight w:val="yellow"/>
              </w:rPr>
            </w:pPr>
          </w:p>
        </w:tc>
      </w:tr>
      <w:tr w:rsidR="00A364E6" w:rsidRPr="003A3B75" w:rsidTr="00CB10C8">
        <w:trPr>
          <w:cantSplit/>
          <w:trHeight w:val="1787"/>
        </w:trPr>
        <w:tc>
          <w:tcPr>
            <w:tcW w:w="9653" w:type="dxa"/>
            <w:gridSpan w:val="7"/>
            <w:tcBorders>
              <w:top w:val="single" w:sz="12" w:space="0" w:color="auto"/>
              <w:left w:val="single" w:sz="12" w:space="0" w:color="auto"/>
              <w:bottom w:val="single" w:sz="12" w:space="0" w:color="auto"/>
              <w:right w:val="single" w:sz="12" w:space="0" w:color="auto"/>
            </w:tcBorders>
            <w:vAlign w:val="center"/>
          </w:tcPr>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Units are in: micrograms per cubic meter (μg/m</w:t>
            </w:r>
            <w:r w:rsidRPr="00854FEF">
              <w:rPr>
                <w:sz w:val="16"/>
                <w:szCs w:val="16"/>
                <w:vertAlign w:val="superscript"/>
              </w:rPr>
              <w:t>3</w:t>
            </w:r>
            <w:r w:rsidRPr="00854FEF">
              <w:rPr>
                <w:sz w:val="16"/>
                <w:szCs w:val="16"/>
              </w:rPr>
              <w:t>); parts per billion (ppb); or parts per million (ppm).</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Exceedance based standard - Maximum 2016 concentration given for comparison</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Not to be exceeded more than once per year.</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Three-year average of the annual 98</w:t>
            </w:r>
            <w:r w:rsidRPr="00854FEF">
              <w:rPr>
                <w:sz w:val="16"/>
                <w:szCs w:val="16"/>
                <w:vertAlign w:val="superscript"/>
              </w:rPr>
              <w:t>th</w:t>
            </w:r>
            <w:r w:rsidRPr="00854FEF">
              <w:rPr>
                <w:sz w:val="16"/>
                <w:szCs w:val="16"/>
              </w:rPr>
              <w:t xml:space="preserve"> percentile, daily maximum 1-hour average concentration.</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Arithmetic annual mean.</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Three-year average of the annual 98</w:t>
            </w:r>
            <w:r w:rsidRPr="00854FEF">
              <w:rPr>
                <w:sz w:val="16"/>
                <w:szCs w:val="16"/>
                <w:vertAlign w:val="superscript"/>
              </w:rPr>
              <w:t>th</w:t>
            </w:r>
            <w:r w:rsidRPr="00854FEF">
              <w:rPr>
                <w:sz w:val="16"/>
                <w:szCs w:val="16"/>
              </w:rPr>
              <w:t xml:space="preserve"> percentile, daily maximum 8-hour average concentration.</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 xml:space="preserve">Not to be exceeded more than once per year on average over a three-year period. </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Three-year average of the annual 98</w:t>
            </w:r>
            <w:r w:rsidRPr="00854FEF">
              <w:rPr>
                <w:sz w:val="16"/>
                <w:szCs w:val="16"/>
                <w:vertAlign w:val="superscript"/>
              </w:rPr>
              <w:t>th</w:t>
            </w:r>
            <w:r w:rsidRPr="00854FEF">
              <w:rPr>
                <w:sz w:val="16"/>
                <w:szCs w:val="16"/>
              </w:rPr>
              <w:t xml:space="preserve"> percentile, daily 24-hour average concentrations.</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Three-year average of the arithmetic annual means.</w:t>
            </w:r>
          </w:p>
          <w:p w:rsidR="00A364E6" w:rsidRPr="00854FEF" w:rsidRDefault="00A364E6" w:rsidP="000E68D7">
            <w:pPr>
              <w:numPr>
                <w:ilvl w:val="0"/>
                <w:numId w:val="14"/>
              </w:numPr>
              <w:autoSpaceDE w:val="0"/>
              <w:autoSpaceDN w:val="0"/>
              <w:adjustRightInd w:val="0"/>
              <w:ind w:left="1440" w:hanging="1458"/>
              <w:rPr>
                <w:sz w:val="16"/>
                <w:szCs w:val="16"/>
              </w:rPr>
            </w:pPr>
            <w:r w:rsidRPr="00854FEF">
              <w:rPr>
                <w:sz w:val="16"/>
                <w:szCs w:val="16"/>
              </w:rPr>
              <w:t>Three-year average of the annual 99</w:t>
            </w:r>
            <w:r w:rsidRPr="00854FEF">
              <w:rPr>
                <w:sz w:val="16"/>
                <w:szCs w:val="16"/>
                <w:vertAlign w:val="superscript"/>
              </w:rPr>
              <w:t>th</w:t>
            </w:r>
            <w:r w:rsidRPr="00854FEF">
              <w:rPr>
                <w:sz w:val="16"/>
                <w:szCs w:val="16"/>
              </w:rPr>
              <w:t xml:space="preserve"> percentile, daily maximum 1-hour average concentration.</w:t>
            </w:r>
          </w:p>
        </w:tc>
      </w:tr>
    </w:tbl>
    <w:p w:rsidR="00A364E6" w:rsidRDefault="00863470" w:rsidP="000E68D7">
      <w:pPr>
        <w:widowControl w:val="0"/>
        <w:numPr>
          <w:ilvl w:val="1"/>
          <w:numId w:val="3"/>
        </w:numPr>
        <w:spacing w:before="120" w:after="120"/>
        <w:ind w:left="720" w:hanging="720"/>
        <w:rPr>
          <w:sz w:val="22"/>
          <w:szCs w:val="22"/>
        </w:rPr>
      </w:pPr>
      <w:r w:rsidRPr="00EF6B10">
        <w:rPr>
          <w:b/>
          <w:sz w:val="22"/>
          <w:szCs w:val="22"/>
        </w:rPr>
        <w:t>Source Impact Analysis</w:t>
      </w:r>
    </w:p>
    <w:p w:rsidR="00EF6B10" w:rsidRPr="00EF6B10" w:rsidRDefault="00EF6B10" w:rsidP="00EF6B10">
      <w:pPr>
        <w:widowControl w:val="0"/>
        <w:spacing w:after="120"/>
        <w:rPr>
          <w:sz w:val="22"/>
          <w:szCs w:val="22"/>
        </w:rPr>
      </w:pPr>
      <w:r w:rsidRPr="00EF6B10">
        <w:rPr>
          <w:sz w:val="22"/>
          <w:szCs w:val="22"/>
        </w:rPr>
        <w:t xml:space="preserve">A source impact analysis is required by Rule 62-212.400(5), F.A.C. to demonstrate that allowable emission increases from the proposed project will not cause or contribute to a violation of any NAAQS or PSD increment as defined in 40 CFR Part 50 and 40 CFR 52.21(c) respectively. </w:t>
      </w:r>
      <w:r w:rsidR="00671C2A">
        <w:rPr>
          <w:sz w:val="22"/>
          <w:szCs w:val="22"/>
        </w:rPr>
        <w:t xml:space="preserve"> </w:t>
      </w:r>
      <w:r w:rsidRPr="00EF6B10">
        <w:rPr>
          <w:sz w:val="22"/>
          <w:szCs w:val="22"/>
        </w:rPr>
        <w:t>This analysis is performed using approved air quality models and analysis techniques as described in Appendix W (Guideline on Air Quality Models) of 40 CFR 51.</w:t>
      </w:r>
    </w:p>
    <w:p w:rsidR="00EF6B10" w:rsidRPr="0043024A" w:rsidRDefault="00EF6B10" w:rsidP="0043024A">
      <w:pPr>
        <w:widowControl w:val="0"/>
        <w:numPr>
          <w:ilvl w:val="2"/>
          <w:numId w:val="3"/>
        </w:numPr>
        <w:spacing w:before="120" w:after="120"/>
        <w:ind w:left="720" w:hanging="720"/>
        <w:rPr>
          <w:sz w:val="22"/>
          <w:szCs w:val="22"/>
        </w:rPr>
      </w:pPr>
      <w:r w:rsidRPr="00B25EE6">
        <w:rPr>
          <w:sz w:val="22"/>
          <w:szCs w:val="22"/>
          <w:u w:val="single"/>
        </w:rPr>
        <w:t>Dispersion Modeling Approach</w:t>
      </w:r>
    </w:p>
    <w:p w:rsidR="00EF6B10" w:rsidRPr="00EF6B10" w:rsidRDefault="00EF6B10" w:rsidP="00EF6B10">
      <w:pPr>
        <w:widowControl w:val="0"/>
        <w:spacing w:after="120"/>
        <w:rPr>
          <w:sz w:val="22"/>
          <w:szCs w:val="22"/>
        </w:rPr>
      </w:pPr>
      <w:r w:rsidRPr="00EF6B10">
        <w:rPr>
          <w:sz w:val="22"/>
          <w:szCs w:val="22"/>
        </w:rPr>
        <w:t>Dispersion modeling for the source impact analysis typically occurs in six steps:</w:t>
      </w:r>
    </w:p>
    <w:p w:rsidR="00EF6B10" w:rsidRPr="00EF6B10" w:rsidRDefault="00EF6B10" w:rsidP="000E68D7">
      <w:pPr>
        <w:widowControl w:val="0"/>
        <w:numPr>
          <w:ilvl w:val="0"/>
          <w:numId w:val="12"/>
        </w:numPr>
        <w:spacing w:after="120"/>
        <w:rPr>
          <w:sz w:val="22"/>
          <w:szCs w:val="22"/>
        </w:rPr>
      </w:pPr>
      <w:r w:rsidRPr="00EF6B10">
        <w:rPr>
          <w:b/>
          <w:sz w:val="22"/>
          <w:szCs w:val="22"/>
        </w:rPr>
        <w:t>Class II SIL Analysis</w:t>
      </w:r>
      <w:r w:rsidRPr="00EF6B10">
        <w:rPr>
          <w:sz w:val="22"/>
          <w:szCs w:val="22"/>
        </w:rPr>
        <w:t xml:space="preserve">: Initial modeling is performed to determine if the maximum predicted concentrations due to the new source(s) alone are likely to cause a significant impact on ambient air quality. </w:t>
      </w:r>
      <w:r w:rsidR="00671C2A">
        <w:rPr>
          <w:sz w:val="22"/>
          <w:szCs w:val="22"/>
        </w:rPr>
        <w:t xml:space="preserve"> </w:t>
      </w:r>
      <w:r w:rsidRPr="00EF6B10">
        <w:rPr>
          <w:sz w:val="22"/>
          <w:szCs w:val="22"/>
        </w:rPr>
        <w:t xml:space="preserve">Modeling is performed using five years of actual meteorological data and the highest resultant concentrations are compared to the EPA suggested SILs for each pollutant that is subject to PSD review. For each pollutant that is less than the SIL, steps two and three are skipped. </w:t>
      </w:r>
      <w:r w:rsidR="00671C2A">
        <w:rPr>
          <w:sz w:val="22"/>
          <w:szCs w:val="22"/>
        </w:rPr>
        <w:t xml:space="preserve"> </w:t>
      </w:r>
      <w:r w:rsidRPr="00EF6B10">
        <w:rPr>
          <w:sz w:val="22"/>
          <w:szCs w:val="22"/>
        </w:rPr>
        <w:t>For all others, refined NAAQS and Class II increment analyses are required.</w:t>
      </w:r>
    </w:p>
    <w:p w:rsidR="00EF6B10" w:rsidRPr="00EF6B10" w:rsidRDefault="00EF6B10" w:rsidP="000E68D7">
      <w:pPr>
        <w:widowControl w:val="0"/>
        <w:numPr>
          <w:ilvl w:val="0"/>
          <w:numId w:val="12"/>
        </w:numPr>
        <w:spacing w:after="120"/>
        <w:rPr>
          <w:sz w:val="22"/>
          <w:szCs w:val="22"/>
        </w:rPr>
      </w:pPr>
      <w:r w:rsidRPr="00EF6B10">
        <w:rPr>
          <w:b/>
          <w:sz w:val="22"/>
          <w:szCs w:val="22"/>
        </w:rPr>
        <w:t>NAAQS Analysis</w:t>
      </w:r>
      <w:r w:rsidRPr="00EF6B10">
        <w:rPr>
          <w:sz w:val="22"/>
          <w:szCs w:val="22"/>
        </w:rPr>
        <w:t>: Cumulative source modeling is performed for each pollutant and averaging time that exceeded the Class II SIL.</w:t>
      </w:r>
      <w:r w:rsidR="00671C2A">
        <w:rPr>
          <w:sz w:val="22"/>
          <w:szCs w:val="22"/>
        </w:rPr>
        <w:t xml:space="preserve"> </w:t>
      </w:r>
      <w:r w:rsidRPr="00EF6B10">
        <w:rPr>
          <w:sz w:val="22"/>
          <w:szCs w:val="22"/>
        </w:rPr>
        <w:t xml:space="preserve"> This analysis includes modeled emissions from all nearby sources that are considered to have a significant impact and a non-modeled background concentration intended to represent all other sources of pollutants. </w:t>
      </w:r>
      <w:r w:rsidR="00671C2A">
        <w:rPr>
          <w:sz w:val="22"/>
          <w:szCs w:val="22"/>
        </w:rPr>
        <w:t xml:space="preserve"> </w:t>
      </w:r>
      <w:r w:rsidRPr="00EF6B10">
        <w:rPr>
          <w:sz w:val="22"/>
          <w:szCs w:val="22"/>
        </w:rPr>
        <w:t>The resulting concentrations are evaluated on a receptor-by-receptor basis for comparison to each NAAQS using the following methods:</w:t>
      </w:r>
    </w:p>
    <w:p w:rsidR="00EF6B10" w:rsidRPr="00EF6B10" w:rsidRDefault="00EF6B10" w:rsidP="0043024A">
      <w:pPr>
        <w:widowControl w:val="0"/>
        <w:numPr>
          <w:ilvl w:val="0"/>
          <w:numId w:val="15"/>
        </w:numPr>
        <w:spacing w:after="120"/>
        <w:ind w:left="1080"/>
        <w:rPr>
          <w:sz w:val="22"/>
          <w:szCs w:val="22"/>
        </w:rPr>
      </w:pPr>
      <w:r w:rsidRPr="00EF6B10">
        <w:rPr>
          <w:sz w:val="22"/>
          <w:szCs w:val="22"/>
        </w:rPr>
        <w:t>CO 1-Hour Average: Highest of yearly second-high 1-hour average concentrations;</w:t>
      </w:r>
    </w:p>
    <w:p w:rsidR="00EF6B10" w:rsidRPr="00EF6B10" w:rsidRDefault="00EF6B10" w:rsidP="0043024A">
      <w:pPr>
        <w:widowControl w:val="0"/>
        <w:numPr>
          <w:ilvl w:val="0"/>
          <w:numId w:val="15"/>
        </w:numPr>
        <w:spacing w:after="120"/>
        <w:ind w:left="1080"/>
        <w:rPr>
          <w:sz w:val="22"/>
          <w:szCs w:val="22"/>
        </w:rPr>
      </w:pPr>
      <w:r w:rsidRPr="00EF6B10">
        <w:rPr>
          <w:sz w:val="22"/>
          <w:szCs w:val="22"/>
        </w:rPr>
        <w:t>CO 8-Hour Average: Highest of yearly second-high 8-hour average concentrations;</w:t>
      </w:r>
    </w:p>
    <w:p w:rsidR="00EF6B10" w:rsidRPr="00EF6B10" w:rsidRDefault="00EF6B10" w:rsidP="0043024A">
      <w:pPr>
        <w:widowControl w:val="0"/>
        <w:numPr>
          <w:ilvl w:val="0"/>
          <w:numId w:val="15"/>
        </w:numPr>
        <w:spacing w:after="120"/>
        <w:ind w:left="1080"/>
        <w:rPr>
          <w:sz w:val="22"/>
          <w:szCs w:val="22"/>
        </w:rPr>
      </w:pPr>
      <w:r w:rsidRPr="00EF6B10">
        <w:rPr>
          <w:sz w:val="22"/>
          <w:szCs w:val="22"/>
        </w:rPr>
        <w:t>NO</w:t>
      </w:r>
      <w:r w:rsidRPr="00EF6B10">
        <w:rPr>
          <w:sz w:val="22"/>
          <w:szCs w:val="22"/>
          <w:vertAlign w:val="subscript"/>
        </w:rPr>
        <w:t>2</w:t>
      </w:r>
      <w:r w:rsidRPr="00EF6B10">
        <w:rPr>
          <w:sz w:val="22"/>
          <w:szCs w:val="22"/>
        </w:rPr>
        <w:t xml:space="preserve"> 1-Hour Average: 5-year average of the yearly 8</w:t>
      </w:r>
      <w:r w:rsidRPr="00EF6B10">
        <w:rPr>
          <w:sz w:val="22"/>
          <w:szCs w:val="22"/>
          <w:vertAlign w:val="superscript"/>
        </w:rPr>
        <w:t>th</w:t>
      </w:r>
      <w:r w:rsidRPr="00EF6B10">
        <w:rPr>
          <w:sz w:val="22"/>
          <w:szCs w:val="22"/>
        </w:rPr>
        <w:t>-high daily maximum 1-hour average concentration;</w:t>
      </w:r>
    </w:p>
    <w:p w:rsidR="00EF6B10" w:rsidRPr="00EF6B10" w:rsidRDefault="00EF6B10" w:rsidP="0043024A">
      <w:pPr>
        <w:widowControl w:val="0"/>
        <w:numPr>
          <w:ilvl w:val="0"/>
          <w:numId w:val="15"/>
        </w:numPr>
        <w:spacing w:after="120"/>
        <w:ind w:left="1080"/>
        <w:rPr>
          <w:sz w:val="22"/>
          <w:szCs w:val="22"/>
        </w:rPr>
      </w:pPr>
      <w:r w:rsidRPr="00EF6B10">
        <w:rPr>
          <w:sz w:val="22"/>
          <w:szCs w:val="22"/>
        </w:rPr>
        <w:t>NO</w:t>
      </w:r>
      <w:r w:rsidRPr="00EF6B10">
        <w:rPr>
          <w:sz w:val="22"/>
          <w:szCs w:val="22"/>
          <w:vertAlign w:val="subscript"/>
        </w:rPr>
        <w:t>2</w:t>
      </w:r>
      <w:r w:rsidRPr="00EF6B10">
        <w:rPr>
          <w:sz w:val="22"/>
          <w:szCs w:val="22"/>
        </w:rPr>
        <w:t xml:space="preserve"> Annual Average: Highest annual mean over five years;</w:t>
      </w:r>
    </w:p>
    <w:p w:rsidR="00EF6B10" w:rsidRPr="00EF6B10" w:rsidRDefault="00EF6B10" w:rsidP="0043024A">
      <w:pPr>
        <w:widowControl w:val="0"/>
        <w:numPr>
          <w:ilvl w:val="0"/>
          <w:numId w:val="15"/>
        </w:numPr>
        <w:spacing w:after="120"/>
        <w:ind w:left="1080"/>
        <w:rPr>
          <w:sz w:val="22"/>
          <w:szCs w:val="22"/>
        </w:rPr>
      </w:pPr>
      <w:r w:rsidRPr="00EF6B10">
        <w:rPr>
          <w:sz w:val="22"/>
          <w:szCs w:val="22"/>
        </w:rPr>
        <w:t>PM</w:t>
      </w:r>
      <w:r w:rsidRPr="00EF6B10">
        <w:rPr>
          <w:sz w:val="22"/>
          <w:szCs w:val="22"/>
          <w:vertAlign w:val="subscript"/>
        </w:rPr>
        <w:t>2.5</w:t>
      </w:r>
      <w:r w:rsidRPr="00EF6B10">
        <w:rPr>
          <w:sz w:val="22"/>
          <w:szCs w:val="22"/>
        </w:rPr>
        <w:t xml:space="preserve"> 24-Hour Average: 5-year average of the yearly 8</w:t>
      </w:r>
      <w:r w:rsidRPr="00EF6B10">
        <w:rPr>
          <w:sz w:val="22"/>
          <w:szCs w:val="22"/>
          <w:vertAlign w:val="superscript"/>
        </w:rPr>
        <w:t>th</w:t>
      </w:r>
      <w:r w:rsidRPr="00EF6B10">
        <w:rPr>
          <w:sz w:val="22"/>
          <w:szCs w:val="22"/>
        </w:rPr>
        <w:t>-high 24-hour average concentration;</w:t>
      </w:r>
    </w:p>
    <w:p w:rsidR="00EF6B10" w:rsidRPr="00EF6B10" w:rsidRDefault="00EF6B10" w:rsidP="0043024A">
      <w:pPr>
        <w:widowControl w:val="0"/>
        <w:numPr>
          <w:ilvl w:val="0"/>
          <w:numId w:val="15"/>
        </w:numPr>
        <w:spacing w:after="120"/>
        <w:ind w:left="1080"/>
        <w:rPr>
          <w:sz w:val="22"/>
          <w:szCs w:val="22"/>
        </w:rPr>
      </w:pPr>
      <w:r w:rsidRPr="00EF6B10">
        <w:rPr>
          <w:sz w:val="22"/>
          <w:szCs w:val="22"/>
        </w:rPr>
        <w:t>PM</w:t>
      </w:r>
      <w:r w:rsidRPr="00EF6B10">
        <w:rPr>
          <w:sz w:val="22"/>
          <w:szCs w:val="22"/>
          <w:vertAlign w:val="subscript"/>
        </w:rPr>
        <w:t>2.5</w:t>
      </w:r>
      <w:r w:rsidRPr="00EF6B10">
        <w:rPr>
          <w:sz w:val="22"/>
          <w:szCs w:val="22"/>
        </w:rPr>
        <w:t xml:space="preserve"> Annual Average: 5-year average of the annual mean;</w:t>
      </w:r>
    </w:p>
    <w:p w:rsidR="00EF6B10" w:rsidRPr="00EF6B10" w:rsidRDefault="00EF6B10" w:rsidP="0043024A">
      <w:pPr>
        <w:widowControl w:val="0"/>
        <w:numPr>
          <w:ilvl w:val="0"/>
          <w:numId w:val="15"/>
        </w:numPr>
        <w:spacing w:after="120"/>
        <w:ind w:left="1080"/>
        <w:rPr>
          <w:sz w:val="22"/>
          <w:szCs w:val="22"/>
        </w:rPr>
      </w:pPr>
      <w:r w:rsidRPr="00EF6B10">
        <w:rPr>
          <w:sz w:val="22"/>
          <w:szCs w:val="22"/>
        </w:rPr>
        <w:t>PM</w:t>
      </w:r>
      <w:r w:rsidRPr="00EF6B10">
        <w:rPr>
          <w:sz w:val="22"/>
          <w:szCs w:val="22"/>
          <w:vertAlign w:val="subscript"/>
        </w:rPr>
        <w:t>10</w:t>
      </w:r>
      <w:r w:rsidRPr="00EF6B10">
        <w:rPr>
          <w:sz w:val="22"/>
          <w:szCs w:val="22"/>
        </w:rPr>
        <w:t xml:space="preserve"> 24-Hour Average: 6</w:t>
      </w:r>
      <w:r w:rsidRPr="00EF6B10">
        <w:rPr>
          <w:sz w:val="22"/>
          <w:szCs w:val="22"/>
          <w:vertAlign w:val="superscript"/>
        </w:rPr>
        <w:t>th</w:t>
      </w:r>
      <w:r w:rsidRPr="00EF6B10">
        <w:rPr>
          <w:sz w:val="22"/>
          <w:szCs w:val="22"/>
        </w:rPr>
        <w:t>-high 24-hour concentration over five years;</w:t>
      </w:r>
    </w:p>
    <w:p w:rsidR="00EF6B10" w:rsidRPr="00EF6B10" w:rsidRDefault="00EF6B10" w:rsidP="0043024A">
      <w:pPr>
        <w:widowControl w:val="0"/>
        <w:numPr>
          <w:ilvl w:val="0"/>
          <w:numId w:val="15"/>
        </w:numPr>
        <w:spacing w:after="120"/>
        <w:ind w:left="1080"/>
        <w:rPr>
          <w:sz w:val="22"/>
          <w:szCs w:val="22"/>
        </w:rPr>
      </w:pPr>
      <w:r w:rsidRPr="00EF6B10">
        <w:rPr>
          <w:sz w:val="22"/>
          <w:szCs w:val="22"/>
        </w:rPr>
        <w:t>SO</w:t>
      </w:r>
      <w:r w:rsidRPr="00EF6B10">
        <w:rPr>
          <w:sz w:val="22"/>
          <w:szCs w:val="22"/>
          <w:vertAlign w:val="subscript"/>
        </w:rPr>
        <w:t>2</w:t>
      </w:r>
      <w:r w:rsidRPr="00EF6B10">
        <w:rPr>
          <w:sz w:val="22"/>
          <w:szCs w:val="22"/>
        </w:rPr>
        <w:t xml:space="preserve"> 1-Hour Average: 5-year average of the yearly 4</w:t>
      </w:r>
      <w:r w:rsidRPr="00EF6B10">
        <w:rPr>
          <w:sz w:val="22"/>
          <w:szCs w:val="22"/>
          <w:vertAlign w:val="superscript"/>
        </w:rPr>
        <w:t>th</w:t>
      </w:r>
      <w:r w:rsidRPr="00EF6B10">
        <w:rPr>
          <w:sz w:val="22"/>
          <w:szCs w:val="22"/>
        </w:rPr>
        <w:t>-high daily maximum 1-hour average concentration;</w:t>
      </w:r>
    </w:p>
    <w:p w:rsidR="00EF6B10" w:rsidRPr="00EF6B10" w:rsidRDefault="00EF6B10" w:rsidP="0043024A">
      <w:pPr>
        <w:widowControl w:val="0"/>
        <w:numPr>
          <w:ilvl w:val="0"/>
          <w:numId w:val="15"/>
        </w:numPr>
        <w:spacing w:after="120"/>
        <w:ind w:left="1080"/>
        <w:rPr>
          <w:sz w:val="22"/>
          <w:szCs w:val="22"/>
        </w:rPr>
      </w:pPr>
      <w:r w:rsidRPr="00EF6B10">
        <w:rPr>
          <w:sz w:val="22"/>
          <w:szCs w:val="22"/>
        </w:rPr>
        <w:t>SO</w:t>
      </w:r>
      <w:r w:rsidRPr="00EF6B10">
        <w:rPr>
          <w:sz w:val="22"/>
          <w:szCs w:val="22"/>
          <w:vertAlign w:val="subscript"/>
        </w:rPr>
        <w:t>2</w:t>
      </w:r>
      <w:r w:rsidRPr="00EF6B10">
        <w:rPr>
          <w:sz w:val="22"/>
          <w:szCs w:val="22"/>
        </w:rPr>
        <w:t xml:space="preserve"> 24-Hour Average: Highest of yearly second-high 24-hour average concentrations;</w:t>
      </w:r>
    </w:p>
    <w:p w:rsidR="00EF6B10" w:rsidRPr="00EF6B10" w:rsidRDefault="00EF6B10" w:rsidP="0043024A">
      <w:pPr>
        <w:widowControl w:val="0"/>
        <w:numPr>
          <w:ilvl w:val="0"/>
          <w:numId w:val="15"/>
        </w:numPr>
        <w:spacing w:after="120"/>
        <w:ind w:left="1080"/>
        <w:rPr>
          <w:sz w:val="22"/>
          <w:szCs w:val="22"/>
        </w:rPr>
      </w:pPr>
      <w:r w:rsidRPr="00EF6B10">
        <w:rPr>
          <w:sz w:val="22"/>
          <w:szCs w:val="22"/>
        </w:rPr>
        <w:t>SO</w:t>
      </w:r>
      <w:r w:rsidRPr="00EF6B10">
        <w:rPr>
          <w:sz w:val="22"/>
          <w:szCs w:val="22"/>
          <w:vertAlign w:val="subscript"/>
        </w:rPr>
        <w:t>2</w:t>
      </w:r>
      <w:r w:rsidRPr="00EF6B10">
        <w:rPr>
          <w:sz w:val="22"/>
          <w:szCs w:val="22"/>
        </w:rPr>
        <w:t xml:space="preserve"> Annual Average: Highest annual mean over five years.</w:t>
      </w:r>
      <w:bookmarkStart w:id="80" w:name="_Ref390768111"/>
    </w:p>
    <w:bookmarkEnd w:id="80"/>
    <w:p w:rsidR="00EF6B10" w:rsidRPr="00EF6B10" w:rsidRDefault="00EF6B10" w:rsidP="000E68D7">
      <w:pPr>
        <w:widowControl w:val="0"/>
        <w:numPr>
          <w:ilvl w:val="0"/>
          <w:numId w:val="12"/>
        </w:numPr>
        <w:spacing w:after="120"/>
        <w:rPr>
          <w:sz w:val="22"/>
          <w:szCs w:val="22"/>
        </w:rPr>
      </w:pPr>
      <w:r w:rsidRPr="00EF6B10">
        <w:rPr>
          <w:b/>
          <w:sz w:val="22"/>
          <w:szCs w:val="22"/>
        </w:rPr>
        <w:t>Class II Increment Analysis</w:t>
      </w:r>
      <w:r w:rsidRPr="00EF6B10">
        <w:rPr>
          <w:sz w:val="22"/>
          <w:szCs w:val="22"/>
        </w:rPr>
        <w:t xml:space="preserve">: </w:t>
      </w:r>
      <w:r w:rsidR="002A0497">
        <w:rPr>
          <w:sz w:val="22"/>
          <w:szCs w:val="22"/>
        </w:rPr>
        <w:t xml:space="preserve"> </w:t>
      </w:r>
      <w:r w:rsidRPr="00EF6B10">
        <w:rPr>
          <w:sz w:val="22"/>
          <w:szCs w:val="22"/>
        </w:rPr>
        <w:t>Cumulative source modeling is performed with nearby PSD increment consuming or expanding sources.</w:t>
      </w:r>
      <w:r w:rsidR="002A0497">
        <w:rPr>
          <w:sz w:val="22"/>
          <w:szCs w:val="22"/>
        </w:rPr>
        <w:t xml:space="preserve"> </w:t>
      </w:r>
      <w:r w:rsidRPr="00EF6B10">
        <w:rPr>
          <w:sz w:val="22"/>
          <w:szCs w:val="22"/>
        </w:rPr>
        <w:t xml:space="preserve"> For annual averaging periods, the highest five-year annual average is compared to the increment.</w:t>
      </w:r>
      <w:r w:rsidR="00CF22CA">
        <w:rPr>
          <w:sz w:val="22"/>
          <w:szCs w:val="22"/>
        </w:rPr>
        <w:t xml:space="preserve"> </w:t>
      </w:r>
      <w:r w:rsidRPr="00EF6B10">
        <w:rPr>
          <w:sz w:val="22"/>
          <w:szCs w:val="22"/>
        </w:rPr>
        <w:t xml:space="preserve"> For all other short-term averaging periods, the 2</w:t>
      </w:r>
      <w:r w:rsidRPr="00EF6B10">
        <w:rPr>
          <w:sz w:val="22"/>
          <w:szCs w:val="22"/>
          <w:vertAlign w:val="superscript"/>
        </w:rPr>
        <w:t>nd</w:t>
      </w:r>
      <w:r w:rsidRPr="00EF6B10">
        <w:rPr>
          <w:sz w:val="22"/>
          <w:szCs w:val="22"/>
        </w:rPr>
        <w:t>-highest concentration from each of five years is compared.</w:t>
      </w:r>
    </w:p>
    <w:p w:rsidR="00EF6B10" w:rsidRPr="00EF6B10" w:rsidRDefault="00EF6B10" w:rsidP="000E68D7">
      <w:pPr>
        <w:widowControl w:val="0"/>
        <w:numPr>
          <w:ilvl w:val="0"/>
          <w:numId w:val="12"/>
        </w:numPr>
        <w:spacing w:after="120"/>
        <w:rPr>
          <w:sz w:val="22"/>
          <w:szCs w:val="22"/>
        </w:rPr>
      </w:pPr>
      <w:r w:rsidRPr="00EF6B10">
        <w:rPr>
          <w:b/>
          <w:sz w:val="22"/>
          <w:szCs w:val="22"/>
        </w:rPr>
        <w:t>Class I SIL Analysis</w:t>
      </w:r>
      <w:r w:rsidRPr="00EF6B10">
        <w:rPr>
          <w:sz w:val="22"/>
          <w:szCs w:val="22"/>
        </w:rPr>
        <w:t xml:space="preserve">: </w:t>
      </w:r>
      <w:r w:rsidR="002A0497">
        <w:rPr>
          <w:sz w:val="22"/>
          <w:szCs w:val="22"/>
        </w:rPr>
        <w:t xml:space="preserve"> </w:t>
      </w:r>
      <w:r w:rsidRPr="00EF6B10">
        <w:rPr>
          <w:sz w:val="22"/>
          <w:szCs w:val="22"/>
        </w:rPr>
        <w:t xml:space="preserve">A Class I analysis is typically required if a source is within 200 km of a Federal Class I area. </w:t>
      </w:r>
      <w:r w:rsidR="00CF22CA">
        <w:rPr>
          <w:sz w:val="22"/>
          <w:szCs w:val="22"/>
        </w:rPr>
        <w:t xml:space="preserve"> </w:t>
      </w:r>
      <w:r w:rsidRPr="00EF6B10">
        <w:rPr>
          <w:sz w:val="22"/>
          <w:szCs w:val="22"/>
        </w:rPr>
        <w:t xml:space="preserve">Almost all of Florida is within this distance of at least one Class I area and therefore an analysis is always required. </w:t>
      </w:r>
      <w:r w:rsidR="00671C2A">
        <w:rPr>
          <w:sz w:val="22"/>
          <w:szCs w:val="22"/>
        </w:rPr>
        <w:t xml:space="preserve"> </w:t>
      </w:r>
      <w:r w:rsidRPr="00EF6B10">
        <w:rPr>
          <w:sz w:val="22"/>
          <w:szCs w:val="22"/>
        </w:rPr>
        <w:t>This analysis is identical to the Class II SIL analysis except that the SILs are smaller and only evaluated within the boundaries of the Class I area.</w:t>
      </w:r>
    </w:p>
    <w:p w:rsidR="00EF6B10" w:rsidRPr="00EF6B10" w:rsidRDefault="00EF6B10" w:rsidP="000E68D7">
      <w:pPr>
        <w:widowControl w:val="0"/>
        <w:numPr>
          <w:ilvl w:val="0"/>
          <w:numId w:val="12"/>
        </w:numPr>
        <w:spacing w:after="120"/>
        <w:rPr>
          <w:b/>
          <w:sz w:val="22"/>
          <w:szCs w:val="22"/>
        </w:rPr>
      </w:pPr>
      <w:r w:rsidRPr="00EF6B10">
        <w:rPr>
          <w:b/>
          <w:sz w:val="22"/>
          <w:szCs w:val="22"/>
        </w:rPr>
        <w:t>Class I Increment Analysis</w:t>
      </w:r>
      <w:r w:rsidRPr="00EF6B10">
        <w:rPr>
          <w:sz w:val="22"/>
          <w:szCs w:val="22"/>
        </w:rPr>
        <w:t xml:space="preserve">: </w:t>
      </w:r>
      <w:r w:rsidR="002A0497">
        <w:rPr>
          <w:sz w:val="22"/>
          <w:szCs w:val="22"/>
        </w:rPr>
        <w:t xml:space="preserve"> </w:t>
      </w:r>
      <w:r w:rsidRPr="00EF6B10">
        <w:rPr>
          <w:sz w:val="22"/>
          <w:szCs w:val="22"/>
        </w:rPr>
        <w:t>For those pollutants that exceed the applicable Class I SIL, an increment analysis is required.</w:t>
      </w:r>
      <w:r w:rsidR="00671C2A">
        <w:rPr>
          <w:sz w:val="22"/>
          <w:szCs w:val="22"/>
        </w:rPr>
        <w:t xml:space="preserve"> </w:t>
      </w:r>
      <w:r w:rsidRPr="00EF6B10">
        <w:rPr>
          <w:sz w:val="22"/>
          <w:szCs w:val="22"/>
        </w:rPr>
        <w:t xml:space="preserve"> Again this analysis mirrors the Class II increment analysis except with smaller increments that are only evaluated within the Class I area.</w:t>
      </w:r>
    </w:p>
    <w:p w:rsidR="00EF6B10" w:rsidRPr="00EF6B10" w:rsidRDefault="00EF6B10" w:rsidP="000E68D7">
      <w:pPr>
        <w:widowControl w:val="0"/>
        <w:numPr>
          <w:ilvl w:val="0"/>
          <w:numId w:val="12"/>
        </w:numPr>
        <w:spacing w:after="120"/>
        <w:rPr>
          <w:b/>
          <w:sz w:val="22"/>
          <w:szCs w:val="22"/>
        </w:rPr>
      </w:pPr>
      <w:r w:rsidRPr="00EF6B10">
        <w:rPr>
          <w:b/>
          <w:sz w:val="22"/>
          <w:szCs w:val="22"/>
        </w:rPr>
        <w:t>Class I AQRV Visibility and Deposition Analysis:</w:t>
      </w:r>
      <w:r w:rsidRPr="002A0497">
        <w:rPr>
          <w:sz w:val="22"/>
          <w:szCs w:val="22"/>
        </w:rPr>
        <w:t xml:space="preserve"> </w:t>
      </w:r>
      <w:r w:rsidR="002A0497" w:rsidRPr="002A0497">
        <w:rPr>
          <w:sz w:val="22"/>
          <w:szCs w:val="22"/>
        </w:rPr>
        <w:t xml:space="preserve"> </w:t>
      </w:r>
      <w:r w:rsidRPr="00EF6B10">
        <w:rPr>
          <w:sz w:val="22"/>
          <w:szCs w:val="22"/>
        </w:rPr>
        <w:t xml:space="preserve">A visibility and deposition analysis is required for any Class I area that does not pass </w:t>
      </w:r>
      <w:r w:rsidR="00CF22CA" w:rsidRPr="00EF6B10">
        <w:rPr>
          <w:sz w:val="22"/>
          <w:szCs w:val="22"/>
        </w:rPr>
        <w:t>a specific screening criterion</w:t>
      </w:r>
      <w:r w:rsidRPr="00EF6B10">
        <w:rPr>
          <w:sz w:val="22"/>
          <w:szCs w:val="22"/>
        </w:rPr>
        <w:t xml:space="preserve">. </w:t>
      </w:r>
      <w:r w:rsidR="00CF22CA">
        <w:rPr>
          <w:sz w:val="22"/>
          <w:szCs w:val="22"/>
        </w:rPr>
        <w:t xml:space="preserve"> </w:t>
      </w:r>
      <w:r w:rsidRPr="00EF6B10">
        <w:rPr>
          <w:sz w:val="22"/>
          <w:szCs w:val="22"/>
        </w:rPr>
        <w:t>This analysis is typically performed with CALPUFF.</w:t>
      </w:r>
    </w:p>
    <w:p w:rsidR="00EF6B10" w:rsidRPr="00EF6B10" w:rsidRDefault="00EF6B10" w:rsidP="0043024A">
      <w:pPr>
        <w:widowControl w:val="0"/>
        <w:numPr>
          <w:ilvl w:val="2"/>
          <w:numId w:val="3"/>
        </w:numPr>
        <w:spacing w:before="120" w:after="120"/>
        <w:ind w:left="720" w:hanging="720"/>
        <w:rPr>
          <w:sz w:val="22"/>
          <w:szCs w:val="22"/>
          <w:u w:val="single"/>
        </w:rPr>
      </w:pPr>
      <w:r w:rsidRPr="00EF6B10">
        <w:rPr>
          <w:sz w:val="22"/>
          <w:szCs w:val="22"/>
          <w:u w:val="single"/>
        </w:rPr>
        <w:t>Models</w:t>
      </w:r>
    </w:p>
    <w:p w:rsidR="00EF6B10" w:rsidRPr="00EF6B10" w:rsidRDefault="00EF6B10" w:rsidP="00EF6B10">
      <w:pPr>
        <w:widowControl w:val="0"/>
        <w:spacing w:after="120"/>
        <w:rPr>
          <w:sz w:val="22"/>
          <w:szCs w:val="22"/>
        </w:rPr>
      </w:pPr>
      <w:r w:rsidRPr="00EF6B10">
        <w:rPr>
          <w:sz w:val="22"/>
          <w:szCs w:val="22"/>
        </w:rPr>
        <w:t xml:space="preserve">The AERMOD (AMS (American Meteorological Society)/EPA Regulatory Model) modeling system is a near-field, Gaussian, steady-state plume dispersion model that simulates pollutant dispersion methods based on planetary boundary layer turbulence structure and scaling concepts, including the treatment of both surface and elevated sources, and both simple and complex terrain. </w:t>
      </w:r>
      <w:r w:rsidR="00671C2A">
        <w:rPr>
          <w:sz w:val="22"/>
          <w:szCs w:val="22"/>
        </w:rPr>
        <w:t xml:space="preserve"> </w:t>
      </w:r>
      <w:r w:rsidRPr="00EF6B10">
        <w:rPr>
          <w:sz w:val="22"/>
          <w:szCs w:val="22"/>
        </w:rPr>
        <w:t xml:space="preserve">The system is comprised of the AERMET meteorological processor, the AERMAP terrain processor, and the actual AERMOD model. </w:t>
      </w:r>
      <w:r w:rsidR="00671C2A">
        <w:rPr>
          <w:sz w:val="22"/>
          <w:szCs w:val="22"/>
        </w:rPr>
        <w:t xml:space="preserve"> </w:t>
      </w:r>
      <w:r w:rsidRPr="00EF6B10">
        <w:rPr>
          <w:sz w:val="22"/>
          <w:szCs w:val="22"/>
        </w:rPr>
        <w:t xml:space="preserve">AERMOD was commissioned by EPA for regulatory use and was developed by AERMIC (AMS/EPA Regulatory Model Improvement Committee) from 1991 to 2005 when EPA officially promulgated it as the preferred regulatory model. </w:t>
      </w:r>
      <w:r w:rsidR="00671C2A">
        <w:rPr>
          <w:sz w:val="22"/>
          <w:szCs w:val="22"/>
        </w:rPr>
        <w:t xml:space="preserve"> </w:t>
      </w:r>
      <w:r w:rsidRPr="00EF6B10">
        <w:rPr>
          <w:sz w:val="22"/>
          <w:szCs w:val="22"/>
        </w:rPr>
        <w:t>Between 2005 and 2016 the program has undergone 12 major updates.</w:t>
      </w:r>
      <w:r w:rsidR="002A0497">
        <w:rPr>
          <w:sz w:val="22"/>
          <w:szCs w:val="22"/>
        </w:rPr>
        <w:t xml:space="preserve"> </w:t>
      </w:r>
      <w:r w:rsidRPr="00EF6B10">
        <w:rPr>
          <w:sz w:val="22"/>
          <w:szCs w:val="22"/>
        </w:rPr>
        <w:t xml:space="preserve"> It is the recommended model for assessing air quality impacts up to 50 km from the source.</w:t>
      </w:r>
    </w:p>
    <w:p w:rsidR="00EF6B10" w:rsidRPr="00EF6B10" w:rsidRDefault="00EF6B10" w:rsidP="00EF6B10">
      <w:pPr>
        <w:widowControl w:val="0"/>
        <w:spacing w:after="120"/>
        <w:rPr>
          <w:sz w:val="22"/>
          <w:szCs w:val="22"/>
        </w:rPr>
      </w:pPr>
      <w:r w:rsidRPr="00EF6B10">
        <w:rPr>
          <w:sz w:val="22"/>
          <w:szCs w:val="22"/>
        </w:rPr>
        <w:t>CALPUFF is a multi-layer, multi-species, non-steady-state, puff dispersion model that simulates the effects of time- and space-varying meteorological conditions on pollution transport, transformation and removal</w:t>
      </w:r>
      <w:r w:rsidR="00A55C44">
        <w:rPr>
          <w:sz w:val="22"/>
          <w:szCs w:val="22"/>
        </w:rPr>
        <w:t xml:space="preserve">.  </w:t>
      </w:r>
      <w:r w:rsidRPr="00EF6B10">
        <w:rPr>
          <w:sz w:val="22"/>
          <w:szCs w:val="22"/>
        </w:rPr>
        <w:t>It is capable of evaluating sub-grid scale effects as well as longer range effects such as pollutant removal, chemical transformation, and visibility</w:t>
      </w:r>
      <w:r w:rsidR="00A55C44">
        <w:rPr>
          <w:sz w:val="22"/>
          <w:szCs w:val="22"/>
        </w:rPr>
        <w:t xml:space="preserve">.  </w:t>
      </w:r>
      <w:r w:rsidRPr="00EF6B10">
        <w:rPr>
          <w:sz w:val="22"/>
          <w:szCs w:val="22"/>
        </w:rPr>
        <w:t>It is approved for use on scales of tens to hundreds of kilometers and is generally utilized for long-range transport between 50 and 300 km from the source.</w:t>
      </w:r>
    </w:p>
    <w:p w:rsidR="00EF6B10" w:rsidRPr="00EF6B10" w:rsidRDefault="00EF6B10" w:rsidP="00EF6B10">
      <w:pPr>
        <w:widowControl w:val="0"/>
        <w:spacing w:after="120"/>
        <w:rPr>
          <w:sz w:val="22"/>
          <w:szCs w:val="22"/>
        </w:rPr>
      </w:pPr>
      <w:r w:rsidRPr="00EF6B10">
        <w:rPr>
          <w:sz w:val="22"/>
          <w:szCs w:val="22"/>
        </w:rPr>
        <w:t>For this project, AERMOD was used to evaluate the Class II SILs for PM</w:t>
      </w:r>
      <w:r w:rsidRPr="00EF6B10">
        <w:rPr>
          <w:sz w:val="22"/>
          <w:szCs w:val="22"/>
          <w:vertAlign w:val="subscript"/>
        </w:rPr>
        <w:t>2.5</w:t>
      </w:r>
      <w:r w:rsidRPr="00EF6B10">
        <w:rPr>
          <w:sz w:val="22"/>
          <w:szCs w:val="22"/>
        </w:rPr>
        <w:t>, PM</w:t>
      </w:r>
      <w:r w:rsidRPr="00EF6B10">
        <w:rPr>
          <w:sz w:val="22"/>
          <w:szCs w:val="22"/>
          <w:vertAlign w:val="subscript"/>
        </w:rPr>
        <w:t>10</w:t>
      </w:r>
      <w:r w:rsidRPr="00EF6B10">
        <w:rPr>
          <w:sz w:val="22"/>
          <w:szCs w:val="22"/>
        </w:rPr>
        <w:t>, NO</w:t>
      </w:r>
      <w:r w:rsidRPr="00EF6B10">
        <w:rPr>
          <w:sz w:val="22"/>
          <w:szCs w:val="22"/>
          <w:vertAlign w:val="subscript"/>
        </w:rPr>
        <w:t>2</w:t>
      </w:r>
      <w:r w:rsidRPr="00EF6B10">
        <w:rPr>
          <w:sz w:val="22"/>
          <w:szCs w:val="22"/>
        </w:rPr>
        <w:t>, SO</w:t>
      </w:r>
      <w:r w:rsidRPr="00EF6B10">
        <w:rPr>
          <w:sz w:val="22"/>
          <w:szCs w:val="22"/>
          <w:vertAlign w:val="subscript"/>
        </w:rPr>
        <w:t>2</w:t>
      </w:r>
      <w:r w:rsidRPr="00EF6B10">
        <w:rPr>
          <w:sz w:val="22"/>
          <w:szCs w:val="22"/>
        </w:rPr>
        <w:t xml:space="preserve">, and CO; CALPUFF was used to evaluate AQRVs in Class I areas. </w:t>
      </w:r>
    </w:p>
    <w:p w:rsidR="00EF6B10" w:rsidRPr="00EF6B10" w:rsidRDefault="00EF6B10" w:rsidP="0043024A">
      <w:pPr>
        <w:widowControl w:val="0"/>
        <w:numPr>
          <w:ilvl w:val="2"/>
          <w:numId w:val="3"/>
        </w:numPr>
        <w:spacing w:before="120" w:after="120"/>
        <w:ind w:left="720" w:hanging="720"/>
        <w:rPr>
          <w:sz w:val="22"/>
          <w:szCs w:val="22"/>
          <w:u w:val="single"/>
        </w:rPr>
      </w:pPr>
      <w:r w:rsidRPr="00EF6B10">
        <w:rPr>
          <w:sz w:val="22"/>
          <w:szCs w:val="22"/>
          <w:u w:val="single"/>
        </w:rPr>
        <w:t>Class II SIL Analysis</w:t>
      </w:r>
    </w:p>
    <w:p w:rsidR="00EF6B10" w:rsidRPr="00EF6B10" w:rsidRDefault="00EF6B10" w:rsidP="00EF6B10">
      <w:pPr>
        <w:widowControl w:val="0"/>
        <w:spacing w:after="120"/>
        <w:rPr>
          <w:sz w:val="22"/>
          <w:szCs w:val="22"/>
        </w:rPr>
      </w:pPr>
      <w:r w:rsidRPr="00EF6B10">
        <w:rPr>
          <w:sz w:val="22"/>
          <w:szCs w:val="22"/>
        </w:rPr>
        <w:t xml:space="preserve">The general modeling approach for the SIL, NAAQS, and PSD increment analyses followed current EPA and the Department’s modeling guidance. </w:t>
      </w:r>
      <w:r w:rsidR="002A0497">
        <w:rPr>
          <w:sz w:val="22"/>
          <w:szCs w:val="22"/>
        </w:rPr>
        <w:t xml:space="preserve"> </w:t>
      </w:r>
      <w:r w:rsidRPr="00EF6B10">
        <w:rPr>
          <w:sz w:val="22"/>
          <w:szCs w:val="22"/>
        </w:rPr>
        <w:t xml:space="preserve">The applicant used a series of specific model features recommended by EPA that are referred to as the regulatory options and the latest version of each model component available at the time of the analysis. </w:t>
      </w:r>
      <w:r w:rsidR="002A0497">
        <w:rPr>
          <w:sz w:val="22"/>
          <w:szCs w:val="22"/>
        </w:rPr>
        <w:t xml:space="preserve"> </w:t>
      </w:r>
      <w:r w:rsidRPr="00EF6B10">
        <w:rPr>
          <w:sz w:val="22"/>
          <w:szCs w:val="22"/>
        </w:rPr>
        <w:t xml:space="preserve">It should be noted that ambient concentrations of modeled pollutants in the area near the project site are significantly below the applicable NAAQS for each and therefore use of SILs in this case satisfies Section 165(a)(3) of the CAA. </w:t>
      </w:r>
      <w:r w:rsidR="002A0497">
        <w:rPr>
          <w:sz w:val="22"/>
          <w:szCs w:val="22"/>
        </w:rPr>
        <w:t xml:space="preserve"> </w:t>
      </w:r>
      <w:r w:rsidRPr="00EF6B10">
        <w:rPr>
          <w:sz w:val="22"/>
          <w:szCs w:val="22"/>
        </w:rPr>
        <w:t>The applicant has chosen to use more recent SIL values for PM</w:t>
      </w:r>
      <w:r w:rsidRPr="00EF6B10">
        <w:rPr>
          <w:sz w:val="22"/>
          <w:szCs w:val="22"/>
          <w:vertAlign w:val="subscript"/>
        </w:rPr>
        <w:t>2.5</w:t>
      </w:r>
      <w:r w:rsidRPr="00EF6B10">
        <w:rPr>
          <w:sz w:val="22"/>
          <w:szCs w:val="22"/>
        </w:rPr>
        <w:t xml:space="preserve"> developed by EPA, which EPA believes is sufficient to conclude whether the proposed project will cause or contribute to any violation of the PM</w:t>
      </w:r>
      <w:r w:rsidRPr="00EF6B10">
        <w:rPr>
          <w:sz w:val="22"/>
          <w:szCs w:val="22"/>
          <w:vertAlign w:val="subscript"/>
        </w:rPr>
        <w:t>2.5</w:t>
      </w:r>
      <w:r w:rsidRPr="00EF6B10">
        <w:rPr>
          <w:sz w:val="22"/>
          <w:szCs w:val="22"/>
        </w:rPr>
        <w:t xml:space="preserve"> NAAQS.</w:t>
      </w:r>
      <w:r w:rsidRPr="00EF6B10">
        <w:rPr>
          <w:sz w:val="22"/>
          <w:szCs w:val="22"/>
          <w:vertAlign w:val="superscript"/>
        </w:rPr>
        <w:footnoteReference w:id="14"/>
      </w:r>
    </w:p>
    <w:p w:rsidR="00EF6B10" w:rsidRPr="0043024A" w:rsidRDefault="00EF6B10" w:rsidP="0043024A">
      <w:pPr>
        <w:widowControl w:val="0"/>
        <w:numPr>
          <w:ilvl w:val="3"/>
          <w:numId w:val="3"/>
        </w:numPr>
        <w:spacing w:before="120" w:after="120"/>
        <w:ind w:left="720" w:hanging="720"/>
        <w:rPr>
          <w:sz w:val="22"/>
          <w:szCs w:val="22"/>
          <w:u w:val="single"/>
        </w:rPr>
      </w:pPr>
      <w:r w:rsidRPr="00EF6B10">
        <w:rPr>
          <w:i/>
          <w:sz w:val="22"/>
          <w:szCs w:val="22"/>
        </w:rPr>
        <w:t>Meteorological Data</w:t>
      </w:r>
    </w:p>
    <w:p w:rsidR="00EF6B10" w:rsidRPr="00EF6B10" w:rsidRDefault="00EF6B10" w:rsidP="00EF6B10">
      <w:pPr>
        <w:widowControl w:val="0"/>
        <w:spacing w:after="120"/>
        <w:rPr>
          <w:sz w:val="22"/>
          <w:szCs w:val="22"/>
        </w:rPr>
      </w:pPr>
      <w:r w:rsidRPr="00EF6B10">
        <w:rPr>
          <w:sz w:val="22"/>
          <w:szCs w:val="22"/>
        </w:rPr>
        <w:t xml:space="preserve">The AERMET v.16216 meteorological input used with the AERMOD v.16216R model consisted of a concurrent 5-year period of hourly surface-weather observations from the National Weather Service (NWS) Automated Surface Observing System (ASOS) station at Hernando County Airport (BKV) and upper air sounding (RAOB) data from Tampa International Airport (TBW). </w:t>
      </w:r>
      <w:r w:rsidR="00A55C44">
        <w:rPr>
          <w:sz w:val="22"/>
          <w:szCs w:val="22"/>
        </w:rPr>
        <w:t xml:space="preserve"> </w:t>
      </w:r>
      <w:r w:rsidRPr="00EF6B10">
        <w:rPr>
          <w:sz w:val="22"/>
          <w:szCs w:val="22"/>
        </w:rPr>
        <w:t>This data was compiled by the Department for the period 2012 – 2016 and included land cover and land use parameters derived from the 1992 National Land Cover Database (NLCD) by AERSURFACE v.13016 and 1-minute ASOS wind data extracted by AERMINUTE v.11059 with a minimum wind speed threshold of 0.5 meters per second (m/s). The ASOS station at BKV is located approximately 15 km NNE of the project site and is the closest primary weather station.</w:t>
      </w:r>
      <w:r w:rsidR="00A55C44">
        <w:rPr>
          <w:sz w:val="22"/>
          <w:szCs w:val="22"/>
        </w:rPr>
        <w:t xml:space="preserve"> </w:t>
      </w:r>
      <w:r w:rsidRPr="00EF6B10">
        <w:rPr>
          <w:sz w:val="22"/>
          <w:szCs w:val="22"/>
        </w:rPr>
        <w:t xml:space="preserve"> </w:t>
      </w:r>
      <w:r w:rsidR="0043024A" w:rsidRPr="0043024A">
        <w:rPr>
          <w:rFonts w:ascii="Times New Roman Bold" w:hAnsi="Times New Roman Bold"/>
          <w:b/>
          <w:sz w:val="22"/>
          <w:szCs w:val="22"/>
        </w:rPr>
        <w:fldChar w:fldCharType="begin"/>
      </w:r>
      <w:r w:rsidR="0043024A" w:rsidRPr="0043024A">
        <w:rPr>
          <w:rFonts w:ascii="Times New Roman Bold" w:hAnsi="Times New Roman Bold"/>
          <w:b/>
          <w:sz w:val="22"/>
          <w:szCs w:val="22"/>
        </w:rPr>
        <w:instrText xml:space="preserve"> REF _Ref513626267 \h </w:instrText>
      </w:r>
      <w:r w:rsidR="0043024A">
        <w:rPr>
          <w:rFonts w:ascii="Times New Roman Bold" w:hAnsi="Times New Roman Bold"/>
          <w:b/>
          <w:sz w:val="22"/>
          <w:szCs w:val="22"/>
        </w:rPr>
        <w:instrText xml:space="preserve"> \* MERGEFORMAT </w:instrText>
      </w:r>
      <w:r w:rsidR="0043024A" w:rsidRPr="0043024A">
        <w:rPr>
          <w:rFonts w:ascii="Times New Roman Bold" w:hAnsi="Times New Roman Bold"/>
          <w:b/>
          <w:sz w:val="22"/>
          <w:szCs w:val="22"/>
        </w:rPr>
      </w:r>
      <w:r w:rsidR="0043024A" w:rsidRPr="0043024A">
        <w:rPr>
          <w:rFonts w:ascii="Times New Roman Bold" w:hAnsi="Times New Roman Bold"/>
          <w:b/>
          <w:sz w:val="22"/>
          <w:szCs w:val="22"/>
        </w:rPr>
        <w:fldChar w:fldCharType="separate"/>
      </w:r>
      <w:r w:rsidR="0043024A" w:rsidRPr="0043024A">
        <w:rPr>
          <w:rFonts w:ascii="Times New Roman Bold" w:hAnsi="Times New Roman Bold"/>
          <w:b/>
          <w:sz w:val="22"/>
        </w:rPr>
        <w:t xml:space="preserve">Table </w:t>
      </w:r>
      <w:r w:rsidR="0043024A" w:rsidRPr="0043024A">
        <w:rPr>
          <w:rFonts w:ascii="Times New Roman Bold" w:hAnsi="Times New Roman Bold"/>
          <w:b/>
          <w:noProof/>
          <w:sz w:val="22"/>
        </w:rPr>
        <w:t>20</w:t>
      </w:r>
      <w:r w:rsidR="0043024A" w:rsidRPr="0043024A">
        <w:rPr>
          <w:rFonts w:ascii="Times New Roman Bold" w:hAnsi="Times New Roman Bold"/>
          <w:b/>
          <w:sz w:val="22"/>
          <w:szCs w:val="22"/>
        </w:rPr>
        <w:fldChar w:fldCharType="end"/>
      </w:r>
      <w:r w:rsidR="0043024A">
        <w:rPr>
          <w:sz w:val="22"/>
          <w:szCs w:val="22"/>
        </w:rPr>
        <w:t xml:space="preserve"> </w:t>
      </w:r>
      <w:r w:rsidRPr="00EF6B10">
        <w:rPr>
          <w:sz w:val="22"/>
          <w:szCs w:val="22"/>
        </w:rPr>
        <w:t xml:space="preserve">summarizes the annual average land use parameters for the project site and the ASOS location. </w:t>
      </w:r>
      <w:r w:rsidR="002A0497">
        <w:rPr>
          <w:sz w:val="22"/>
          <w:szCs w:val="22"/>
        </w:rPr>
        <w:t xml:space="preserve"> </w:t>
      </w:r>
      <w:r w:rsidRPr="00EF6B10">
        <w:rPr>
          <w:sz w:val="22"/>
          <w:szCs w:val="22"/>
        </w:rPr>
        <w:t xml:space="preserve">These parameters were derived seasonally and for twelve 30-degree wind direction sectors. </w:t>
      </w:r>
      <w:r w:rsidR="002A0497">
        <w:rPr>
          <w:sz w:val="22"/>
          <w:szCs w:val="22"/>
        </w:rPr>
        <w:t xml:space="preserve"> </w:t>
      </w:r>
      <w:r w:rsidRPr="00EF6B10">
        <w:rPr>
          <w:sz w:val="22"/>
          <w:szCs w:val="22"/>
        </w:rPr>
        <w:t>Given the similarity of the land surrounding both sites, the ASOS data are considered to be representative of the project site.</w:t>
      </w:r>
    </w:p>
    <w:p w:rsidR="00EF6B10" w:rsidRPr="0043024A" w:rsidRDefault="0043024A" w:rsidP="0043024A">
      <w:pPr>
        <w:pStyle w:val="Caption"/>
        <w:spacing w:before="0"/>
        <w:jc w:val="center"/>
        <w:rPr>
          <w:caps w:val="0"/>
        </w:rPr>
      </w:pPr>
      <w:bookmarkStart w:id="81" w:name="_Ref513626267"/>
      <w:r w:rsidRPr="0043024A">
        <w:t xml:space="preserve">Table </w:t>
      </w:r>
      <w:fldSimple w:instr=" SEQ Table \* ARABIC ">
        <w:r w:rsidR="007204D0">
          <w:rPr>
            <w:noProof/>
          </w:rPr>
          <w:t>20</w:t>
        </w:r>
      </w:fldSimple>
      <w:bookmarkEnd w:id="81"/>
      <w:r w:rsidRPr="0043024A">
        <w:t xml:space="preserve"> - </w:t>
      </w:r>
      <w:r w:rsidR="00EF6B10" w:rsidRPr="0043024A">
        <w:rPr>
          <w:caps w:val="0"/>
        </w:rPr>
        <w:t>ANNUAL AVERAGE LAND USE PARAMETER COMPARISON BETWEEN THE BKV ASOS STATION AND THE PROJECT SITE.</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481"/>
        <w:gridCol w:w="2472"/>
        <w:gridCol w:w="2472"/>
        <w:gridCol w:w="2481"/>
      </w:tblGrid>
      <w:tr w:rsidR="00A54705" w:rsidTr="00A90A3B">
        <w:trPr>
          <w:trHeight w:val="350"/>
        </w:trPr>
        <w:tc>
          <w:tcPr>
            <w:tcW w:w="2487" w:type="dxa"/>
            <w:tcBorders>
              <w:top w:val="single" w:sz="12" w:space="0" w:color="auto"/>
              <w:left w:val="single" w:sz="12" w:space="0" w:color="auto"/>
              <w:bottom w:val="single" w:sz="12" w:space="0" w:color="auto"/>
            </w:tcBorders>
            <w:shd w:val="clear" w:color="auto" w:fill="B8CCE4"/>
            <w:vAlign w:val="center"/>
          </w:tcPr>
          <w:p w:rsidR="00A54705" w:rsidRPr="00FF09C8" w:rsidRDefault="00A54705" w:rsidP="00CF08C0">
            <w:pPr>
              <w:keepNext/>
              <w:jc w:val="center"/>
              <w:rPr>
                <w:b/>
              </w:rPr>
            </w:pPr>
            <w:r w:rsidRPr="00FF09C8">
              <w:rPr>
                <w:b/>
              </w:rPr>
              <w:t>Location</w:t>
            </w:r>
          </w:p>
        </w:tc>
        <w:tc>
          <w:tcPr>
            <w:tcW w:w="2477" w:type="dxa"/>
            <w:tcBorders>
              <w:top w:val="single" w:sz="12" w:space="0" w:color="auto"/>
              <w:bottom w:val="single" w:sz="12" w:space="0" w:color="auto"/>
            </w:tcBorders>
            <w:shd w:val="clear" w:color="auto" w:fill="B8CCE4"/>
            <w:vAlign w:val="center"/>
          </w:tcPr>
          <w:p w:rsidR="00A54705" w:rsidRPr="00FF09C8" w:rsidRDefault="00A54705" w:rsidP="00CF08C0">
            <w:pPr>
              <w:keepNext/>
              <w:jc w:val="center"/>
              <w:rPr>
                <w:b/>
              </w:rPr>
            </w:pPr>
            <w:r w:rsidRPr="00FF09C8">
              <w:rPr>
                <w:b/>
              </w:rPr>
              <w:t>Albedo</w:t>
            </w:r>
          </w:p>
        </w:tc>
        <w:tc>
          <w:tcPr>
            <w:tcW w:w="2477" w:type="dxa"/>
            <w:tcBorders>
              <w:top w:val="single" w:sz="12" w:space="0" w:color="auto"/>
              <w:bottom w:val="single" w:sz="12" w:space="0" w:color="auto"/>
            </w:tcBorders>
            <w:shd w:val="clear" w:color="auto" w:fill="B8CCE4"/>
            <w:vAlign w:val="center"/>
          </w:tcPr>
          <w:p w:rsidR="00A54705" w:rsidRPr="00FF09C8" w:rsidRDefault="00A54705" w:rsidP="00CF08C0">
            <w:pPr>
              <w:keepNext/>
              <w:jc w:val="center"/>
              <w:rPr>
                <w:b/>
              </w:rPr>
            </w:pPr>
            <w:r w:rsidRPr="00FF09C8">
              <w:rPr>
                <w:b/>
              </w:rPr>
              <w:t>Bowen Ratio</w:t>
            </w:r>
          </w:p>
        </w:tc>
        <w:tc>
          <w:tcPr>
            <w:tcW w:w="2485" w:type="dxa"/>
            <w:tcBorders>
              <w:top w:val="single" w:sz="12" w:space="0" w:color="auto"/>
              <w:bottom w:val="single" w:sz="12" w:space="0" w:color="auto"/>
              <w:right w:val="single" w:sz="12" w:space="0" w:color="auto"/>
            </w:tcBorders>
            <w:shd w:val="clear" w:color="auto" w:fill="B8CCE4"/>
            <w:vAlign w:val="center"/>
          </w:tcPr>
          <w:p w:rsidR="00A54705" w:rsidRPr="00FF09C8" w:rsidRDefault="00A54705" w:rsidP="00CF08C0">
            <w:pPr>
              <w:keepNext/>
              <w:jc w:val="center"/>
              <w:rPr>
                <w:b/>
              </w:rPr>
            </w:pPr>
            <w:r w:rsidRPr="00FF09C8">
              <w:rPr>
                <w:b/>
              </w:rPr>
              <w:t>Surface Roughness</w:t>
            </w:r>
          </w:p>
        </w:tc>
      </w:tr>
      <w:tr w:rsidR="00A54705" w:rsidTr="00A90A3B">
        <w:tc>
          <w:tcPr>
            <w:tcW w:w="2487" w:type="dxa"/>
            <w:tcBorders>
              <w:top w:val="single" w:sz="12" w:space="0" w:color="auto"/>
              <w:left w:val="single" w:sz="12" w:space="0" w:color="auto"/>
            </w:tcBorders>
          </w:tcPr>
          <w:p w:rsidR="00A54705" w:rsidRPr="00FF09C8" w:rsidRDefault="00A54705" w:rsidP="00CF08C0">
            <w:pPr>
              <w:keepNext/>
              <w:jc w:val="center"/>
            </w:pPr>
            <w:r>
              <w:t>BKV</w:t>
            </w:r>
            <w:r w:rsidRPr="00FF09C8">
              <w:t xml:space="preserve"> ASOS Station</w:t>
            </w:r>
          </w:p>
        </w:tc>
        <w:tc>
          <w:tcPr>
            <w:tcW w:w="2477" w:type="dxa"/>
            <w:tcBorders>
              <w:top w:val="single" w:sz="12" w:space="0" w:color="auto"/>
            </w:tcBorders>
            <w:shd w:val="clear" w:color="auto" w:fill="FFFFFF" w:themeFill="background1"/>
          </w:tcPr>
          <w:p w:rsidR="00A54705" w:rsidRPr="003E11E7" w:rsidRDefault="00A54705" w:rsidP="00CF08C0">
            <w:pPr>
              <w:keepNext/>
              <w:jc w:val="center"/>
            </w:pPr>
            <w:r w:rsidRPr="003E11E7">
              <w:t>0.16</w:t>
            </w:r>
          </w:p>
        </w:tc>
        <w:tc>
          <w:tcPr>
            <w:tcW w:w="2477" w:type="dxa"/>
            <w:tcBorders>
              <w:top w:val="single" w:sz="12" w:space="0" w:color="auto"/>
            </w:tcBorders>
            <w:shd w:val="clear" w:color="auto" w:fill="FFFFFF" w:themeFill="background1"/>
          </w:tcPr>
          <w:p w:rsidR="00A54705" w:rsidRPr="003E11E7" w:rsidRDefault="00A54705" w:rsidP="00CF08C0">
            <w:pPr>
              <w:keepNext/>
              <w:jc w:val="center"/>
            </w:pPr>
            <w:r w:rsidRPr="003E11E7">
              <w:t>0.68</w:t>
            </w:r>
          </w:p>
        </w:tc>
        <w:tc>
          <w:tcPr>
            <w:tcW w:w="2485" w:type="dxa"/>
            <w:tcBorders>
              <w:top w:val="single" w:sz="12" w:space="0" w:color="auto"/>
              <w:right w:val="single" w:sz="12" w:space="0" w:color="auto"/>
            </w:tcBorders>
            <w:shd w:val="clear" w:color="auto" w:fill="FFFFFF" w:themeFill="background1"/>
          </w:tcPr>
          <w:p w:rsidR="00A54705" w:rsidRPr="003E11E7" w:rsidRDefault="00A54705" w:rsidP="00CF08C0">
            <w:pPr>
              <w:keepNext/>
              <w:jc w:val="center"/>
            </w:pPr>
            <w:r w:rsidRPr="003E11E7">
              <w:t>0.115</w:t>
            </w:r>
          </w:p>
        </w:tc>
      </w:tr>
      <w:tr w:rsidR="00A54705" w:rsidTr="00A90A3B">
        <w:tc>
          <w:tcPr>
            <w:tcW w:w="2487" w:type="dxa"/>
            <w:tcBorders>
              <w:left w:val="single" w:sz="12" w:space="0" w:color="auto"/>
              <w:bottom w:val="single" w:sz="12" w:space="0" w:color="auto"/>
            </w:tcBorders>
          </w:tcPr>
          <w:p w:rsidR="00A54705" w:rsidRPr="00FF09C8" w:rsidRDefault="00A54705" w:rsidP="00CF08C0">
            <w:pPr>
              <w:jc w:val="center"/>
            </w:pPr>
            <w:r>
              <w:t>Shady Hills</w:t>
            </w:r>
            <w:r w:rsidRPr="00FF09C8">
              <w:t xml:space="preserve"> Project Site</w:t>
            </w:r>
          </w:p>
        </w:tc>
        <w:tc>
          <w:tcPr>
            <w:tcW w:w="2477" w:type="dxa"/>
            <w:tcBorders>
              <w:bottom w:val="single" w:sz="12" w:space="0" w:color="auto"/>
            </w:tcBorders>
          </w:tcPr>
          <w:p w:rsidR="00A54705" w:rsidRPr="00662882" w:rsidRDefault="00A54705" w:rsidP="00CF08C0">
            <w:pPr>
              <w:jc w:val="center"/>
            </w:pPr>
            <w:r w:rsidRPr="00662882">
              <w:t>0.16</w:t>
            </w:r>
          </w:p>
        </w:tc>
        <w:tc>
          <w:tcPr>
            <w:tcW w:w="2477" w:type="dxa"/>
            <w:tcBorders>
              <w:bottom w:val="single" w:sz="12" w:space="0" w:color="auto"/>
            </w:tcBorders>
          </w:tcPr>
          <w:p w:rsidR="00A54705" w:rsidRPr="00662882" w:rsidRDefault="00A54705" w:rsidP="00CF08C0">
            <w:pPr>
              <w:jc w:val="center"/>
            </w:pPr>
            <w:r w:rsidRPr="00662882">
              <w:t>0.59</w:t>
            </w:r>
          </w:p>
        </w:tc>
        <w:tc>
          <w:tcPr>
            <w:tcW w:w="2485" w:type="dxa"/>
            <w:tcBorders>
              <w:bottom w:val="single" w:sz="12" w:space="0" w:color="auto"/>
              <w:right w:val="single" w:sz="12" w:space="0" w:color="auto"/>
            </w:tcBorders>
          </w:tcPr>
          <w:p w:rsidR="00A54705" w:rsidRPr="00662882" w:rsidRDefault="00A54705" w:rsidP="00CF08C0">
            <w:pPr>
              <w:jc w:val="center"/>
            </w:pPr>
            <w:r w:rsidRPr="00662882">
              <w:t>0.241</w:t>
            </w:r>
          </w:p>
        </w:tc>
      </w:tr>
    </w:tbl>
    <w:p w:rsidR="00EF6B10" w:rsidRPr="0043024A" w:rsidRDefault="00EF6B10" w:rsidP="0043024A">
      <w:pPr>
        <w:widowControl w:val="0"/>
        <w:numPr>
          <w:ilvl w:val="3"/>
          <w:numId w:val="3"/>
        </w:numPr>
        <w:spacing w:before="120" w:after="120"/>
        <w:ind w:left="720" w:hanging="720"/>
        <w:rPr>
          <w:sz w:val="22"/>
          <w:szCs w:val="22"/>
          <w:u w:val="single"/>
        </w:rPr>
      </w:pPr>
      <w:r w:rsidRPr="00EF6B10">
        <w:rPr>
          <w:i/>
          <w:sz w:val="22"/>
          <w:szCs w:val="22"/>
        </w:rPr>
        <w:t>Building Downwash</w:t>
      </w:r>
    </w:p>
    <w:p w:rsidR="00EF6B10" w:rsidRPr="00EF6B10" w:rsidRDefault="00EF6B10" w:rsidP="00EF6B10">
      <w:pPr>
        <w:widowControl w:val="0"/>
        <w:spacing w:after="120"/>
        <w:rPr>
          <w:sz w:val="22"/>
          <w:szCs w:val="22"/>
        </w:rPr>
      </w:pPr>
      <w:r w:rsidRPr="00EF6B10">
        <w:rPr>
          <w:sz w:val="22"/>
          <w:szCs w:val="22"/>
        </w:rPr>
        <w:t xml:space="preserve">Building downwash effects were simulated for 4 structures at the facility. For each stack, direction-specific building heights and maximum projected widths were calculated by the Building Profile Input Program (BPIP v.04274) incorporating the Plume Rise Model Enhancement (PRIME) algorithm developed by the Electric Power Research Institute (EPRI). </w:t>
      </w:r>
      <w:r w:rsidR="00A55C44">
        <w:rPr>
          <w:sz w:val="22"/>
          <w:szCs w:val="22"/>
        </w:rPr>
        <w:t xml:space="preserve"> </w:t>
      </w:r>
      <w:r w:rsidRPr="00EF6B10">
        <w:rPr>
          <w:sz w:val="22"/>
          <w:szCs w:val="22"/>
        </w:rPr>
        <w:t>This wind direction-specific information was then output to AERMOD which simulates aerodynamic downwash based on stack and building locations and heights.</w:t>
      </w:r>
    </w:p>
    <w:p w:rsidR="00EF6B10" w:rsidRPr="0043024A" w:rsidRDefault="00EF6B10" w:rsidP="0043024A">
      <w:pPr>
        <w:widowControl w:val="0"/>
        <w:numPr>
          <w:ilvl w:val="3"/>
          <w:numId w:val="3"/>
        </w:numPr>
        <w:spacing w:before="120" w:after="120"/>
        <w:ind w:left="720" w:hanging="720"/>
        <w:rPr>
          <w:sz w:val="22"/>
          <w:szCs w:val="22"/>
          <w:u w:val="single"/>
        </w:rPr>
      </w:pPr>
      <w:r w:rsidRPr="00EF6B10">
        <w:rPr>
          <w:i/>
          <w:sz w:val="22"/>
          <w:szCs w:val="22"/>
        </w:rPr>
        <w:t>Receptors and Terrain</w:t>
      </w:r>
    </w:p>
    <w:p w:rsidR="00EF6B10" w:rsidRPr="00EF6B10" w:rsidRDefault="00EF6B10" w:rsidP="00EF6B10">
      <w:pPr>
        <w:widowControl w:val="0"/>
        <w:spacing w:after="120"/>
        <w:rPr>
          <w:sz w:val="22"/>
          <w:szCs w:val="22"/>
        </w:rPr>
      </w:pPr>
      <w:r w:rsidRPr="00EF6B10">
        <w:rPr>
          <w:sz w:val="22"/>
          <w:szCs w:val="22"/>
        </w:rPr>
        <w:t xml:space="preserve">A combination of fence line, near-field, and far-field receptors was chosen for predicting maximum concentrations in the vicinity of the project for comparison to the Class II SILs. </w:t>
      </w:r>
      <w:r w:rsidR="002A0497">
        <w:rPr>
          <w:sz w:val="22"/>
          <w:szCs w:val="22"/>
        </w:rPr>
        <w:t xml:space="preserve"> </w:t>
      </w:r>
      <w:r w:rsidRPr="00EF6B10">
        <w:rPr>
          <w:sz w:val="22"/>
          <w:szCs w:val="22"/>
        </w:rPr>
        <w:t xml:space="preserve">Receptor locations used in the modeling analysis were based on Universal Transverse Mercator (UTM) coordinates from Zone 17 North, North American Datum 1983 (NAD83). </w:t>
      </w:r>
      <w:r w:rsidR="002A0497">
        <w:rPr>
          <w:sz w:val="22"/>
          <w:szCs w:val="22"/>
        </w:rPr>
        <w:t xml:space="preserve"> </w:t>
      </w:r>
      <w:r w:rsidRPr="00EF6B10">
        <w:rPr>
          <w:sz w:val="22"/>
          <w:szCs w:val="22"/>
        </w:rPr>
        <w:t>The modeling domain was set as a 4 km X 4 km grid centered at UTM 17N east and north coordinates of 347,465 and 3,138,694 meters, respectively.</w:t>
      </w:r>
      <w:r w:rsidR="002A0497">
        <w:rPr>
          <w:sz w:val="22"/>
          <w:szCs w:val="22"/>
        </w:rPr>
        <w:t xml:space="preserve"> </w:t>
      </w:r>
      <w:r w:rsidRPr="00EF6B10">
        <w:rPr>
          <w:sz w:val="22"/>
          <w:szCs w:val="22"/>
        </w:rPr>
        <w:t xml:space="preserve"> A discrete Cartesian grid of 1,924 receptors was located at the following intervals and distances:</w:t>
      </w:r>
    </w:p>
    <w:p w:rsidR="00EF6B10" w:rsidRPr="00EF6B10" w:rsidRDefault="00EF6B10" w:rsidP="000E68D7">
      <w:pPr>
        <w:widowControl w:val="0"/>
        <w:numPr>
          <w:ilvl w:val="0"/>
          <w:numId w:val="13"/>
        </w:numPr>
        <w:spacing w:after="120"/>
        <w:rPr>
          <w:sz w:val="22"/>
          <w:szCs w:val="22"/>
        </w:rPr>
      </w:pPr>
      <w:r w:rsidRPr="00EF6B10">
        <w:rPr>
          <w:sz w:val="22"/>
          <w:szCs w:val="22"/>
        </w:rPr>
        <w:t>50 m spacing along the property boundary and fence line;</w:t>
      </w:r>
    </w:p>
    <w:p w:rsidR="00EF6B10" w:rsidRPr="00EF6B10" w:rsidRDefault="00EF6B10" w:rsidP="000E68D7">
      <w:pPr>
        <w:widowControl w:val="0"/>
        <w:numPr>
          <w:ilvl w:val="0"/>
          <w:numId w:val="13"/>
        </w:numPr>
        <w:spacing w:after="120"/>
        <w:rPr>
          <w:sz w:val="22"/>
          <w:szCs w:val="22"/>
        </w:rPr>
      </w:pPr>
      <w:r w:rsidRPr="00EF6B10">
        <w:rPr>
          <w:sz w:val="22"/>
          <w:szCs w:val="22"/>
        </w:rPr>
        <w:t>100 m spacing from the fence line to 2,000 m from the domain origin;</w:t>
      </w:r>
    </w:p>
    <w:p w:rsidR="00EF6B10" w:rsidRPr="00EF6B10" w:rsidRDefault="00EF6B10" w:rsidP="000E68D7">
      <w:pPr>
        <w:widowControl w:val="0"/>
        <w:numPr>
          <w:ilvl w:val="0"/>
          <w:numId w:val="13"/>
        </w:numPr>
        <w:spacing w:after="120"/>
        <w:rPr>
          <w:sz w:val="22"/>
          <w:szCs w:val="22"/>
        </w:rPr>
      </w:pPr>
      <w:r w:rsidRPr="00EF6B10">
        <w:rPr>
          <w:sz w:val="22"/>
          <w:szCs w:val="22"/>
        </w:rPr>
        <w:t>500 m spacing from 2,000 m to 4,000 m from the domain origin.</w:t>
      </w:r>
    </w:p>
    <w:p w:rsidR="00EF6B10" w:rsidRPr="00EF6B10" w:rsidRDefault="00EF6B10" w:rsidP="00EF6B10">
      <w:pPr>
        <w:widowControl w:val="0"/>
        <w:spacing w:after="120"/>
        <w:rPr>
          <w:sz w:val="22"/>
          <w:szCs w:val="22"/>
        </w:rPr>
      </w:pPr>
      <w:r w:rsidRPr="00EF6B10">
        <w:rPr>
          <w:sz w:val="22"/>
          <w:szCs w:val="22"/>
        </w:rPr>
        <w:t>This receptor placement is considered to be sufficient to resolve the areas of highest concentration in Florida’s flat terrain.</w:t>
      </w:r>
    </w:p>
    <w:p w:rsidR="00EF6B10" w:rsidRPr="00EF6B10" w:rsidRDefault="00EF6B10" w:rsidP="00EF6B10">
      <w:pPr>
        <w:widowControl w:val="0"/>
        <w:spacing w:after="120"/>
        <w:rPr>
          <w:sz w:val="22"/>
          <w:szCs w:val="22"/>
        </w:rPr>
      </w:pPr>
      <w:r w:rsidRPr="00EF6B10">
        <w:rPr>
          <w:sz w:val="22"/>
          <w:szCs w:val="22"/>
        </w:rPr>
        <w:t>Base elevations were extracted from the US Geological Survey’s (USGS) 1-second National Elevation Dataset (NED) by AERMOD’s terrain processor AERMAP v.11103 for all receptors and sources.</w:t>
      </w:r>
    </w:p>
    <w:p w:rsidR="00EF6B10" w:rsidRPr="0043024A" w:rsidRDefault="00EF6B10" w:rsidP="0043024A">
      <w:pPr>
        <w:widowControl w:val="0"/>
        <w:numPr>
          <w:ilvl w:val="3"/>
          <w:numId w:val="3"/>
        </w:numPr>
        <w:spacing w:before="120" w:after="120"/>
        <w:ind w:left="720" w:hanging="720"/>
        <w:rPr>
          <w:sz w:val="22"/>
          <w:szCs w:val="22"/>
          <w:u w:val="single"/>
        </w:rPr>
      </w:pPr>
      <w:r w:rsidRPr="00EF6B10">
        <w:rPr>
          <w:i/>
          <w:sz w:val="22"/>
          <w:szCs w:val="22"/>
        </w:rPr>
        <w:t>Onsite Modeled Sources</w:t>
      </w:r>
    </w:p>
    <w:p w:rsidR="00EF6B10" w:rsidRDefault="00EF6B10" w:rsidP="00EF6B10">
      <w:pPr>
        <w:widowControl w:val="0"/>
        <w:spacing w:after="120"/>
        <w:rPr>
          <w:sz w:val="22"/>
          <w:szCs w:val="22"/>
        </w:rPr>
      </w:pPr>
      <w:r w:rsidRPr="00EF6B10">
        <w:rPr>
          <w:sz w:val="22"/>
          <w:szCs w:val="22"/>
        </w:rPr>
        <w:t>The SIL analysis evaluates whether the increase in potential emissions from the new project alone are capable of significantly contributing to a modeled NAAQS exceedance.</w:t>
      </w:r>
      <w:r w:rsidR="00A55C44">
        <w:rPr>
          <w:sz w:val="22"/>
          <w:szCs w:val="22"/>
        </w:rPr>
        <w:t xml:space="preserve"> </w:t>
      </w:r>
      <w:r w:rsidRPr="00EF6B10">
        <w:rPr>
          <w:sz w:val="22"/>
          <w:szCs w:val="22"/>
        </w:rPr>
        <w:t xml:space="preserve"> The onsite modeled sources for the project include the proposed combustion turbine/heat recovery steam generator (CT/HRSG) and a 6-cell mechanical draft cooling tower. </w:t>
      </w:r>
      <w:r w:rsidR="00A55C44">
        <w:rPr>
          <w:sz w:val="22"/>
          <w:szCs w:val="22"/>
        </w:rPr>
        <w:t xml:space="preserve"> </w:t>
      </w:r>
      <w:r w:rsidRPr="00EF6B10">
        <w:rPr>
          <w:sz w:val="22"/>
          <w:szCs w:val="22"/>
        </w:rPr>
        <w:t>The CT/HRSG was modeled with nine different sets of parameters for each pollutant in order to identify the worst-case scenarios: three ambient temperatures (30°F, 59°F, and 95°F) and three loads (100% with duct burning, 100% percent load without duct burning, and minimum emission compliance load or MECL.</w:t>
      </w:r>
      <w:r w:rsidR="00A55C44">
        <w:rPr>
          <w:sz w:val="22"/>
          <w:szCs w:val="22"/>
        </w:rPr>
        <w:t xml:space="preserve"> </w:t>
      </w:r>
      <w:r w:rsidRPr="00EF6B10">
        <w:rPr>
          <w:sz w:val="22"/>
          <w:szCs w:val="22"/>
        </w:rPr>
        <w:t xml:space="preserve"> The MECL is approximately </w:t>
      </w:r>
      <w:r w:rsidR="002F5D2A">
        <w:rPr>
          <w:sz w:val="22"/>
          <w:szCs w:val="22"/>
        </w:rPr>
        <w:t>25</w:t>
      </w:r>
      <w:r w:rsidRPr="00EF6B10">
        <w:rPr>
          <w:sz w:val="22"/>
          <w:szCs w:val="22"/>
        </w:rPr>
        <w:t xml:space="preserve">%, but varies with ambient temperature. </w:t>
      </w:r>
      <w:r w:rsidR="00A55C44">
        <w:rPr>
          <w:sz w:val="22"/>
          <w:szCs w:val="22"/>
        </w:rPr>
        <w:t xml:space="preserve"> </w:t>
      </w:r>
      <w:r w:rsidRPr="00EF6B10">
        <w:rPr>
          <w:sz w:val="22"/>
          <w:szCs w:val="22"/>
        </w:rPr>
        <w:t>The worst-case scenario differed for each pollutant, and thus all scenarios are summarized in</w:t>
      </w:r>
      <w:r w:rsidR="0043024A">
        <w:rPr>
          <w:sz w:val="22"/>
          <w:szCs w:val="22"/>
        </w:rPr>
        <w:t xml:space="preserve"> </w:t>
      </w:r>
      <w:r w:rsidR="0043024A" w:rsidRPr="0043024A">
        <w:rPr>
          <w:rFonts w:ascii="Times New Roman Bold" w:hAnsi="Times New Roman Bold"/>
          <w:b/>
          <w:sz w:val="22"/>
          <w:szCs w:val="22"/>
        </w:rPr>
        <w:fldChar w:fldCharType="begin"/>
      </w:r>
      <w:r w:rsidR="0043024A" w:rsidRPr="0043024A">
        <w:rPr>
          <w:rFonts w:ascii="Times New Roman Bold" w:hAnsi="Times New Roman Bold"/>
          <w:b/>
          <w:sz w:val="22"/>
          <w:szCs w:val="22"/>
        </w:rPr>
        <w:instrText xml:space="preserve"> REF _Ref513626320 \h </w:instrText>
      </w:r>
      <w:r w:rsidR="0043024A">
        <w:rPr>
          <w:rFonts w:ascii="Times New Roman Bold" w:hAnsi="Times New Roman Bold"/>
          <w:b/>
          <w:sz w:val="22"/>
          <w:szCs w:val="22"/>
        </w:rPr>
        <w:instrText xml:space="preserve"> \* MERGEFORMAT </w:instrText>
      </w:r>
      <w:r w:rsidR="0043024A" w:rsidRPr="0043024A">
        <w:rPr>
          <w:rFonts w:ascii="Times New Roman Bold" w:hAnsi="Times New Roman Bold"/>
          <w:b/>
          <w:sz w:val="22"/>
          <w:szCs w:val="22"/>
        </w:rPr>
      </w:r>
      <w:r w:rsidR="0043024A" w:rsidRPr="0043024A">
        <w:rPr>
          <w:rFonts w:ascii="Times New Roman Bold" w:hAnsi="Times New Roman Bold"/>
          <w:b/>
          <w:sz w:val="22"/>
          <w:szCs w:val="22"/>
        </w:rPr>
        <w:fldChar w:fldCharType="separate"/>
      </w:r>
      <w:r w:rsidR="0043024A" w:rsidRPr="0043024A">
        <w:rPr>
          <w:rFonts w:ascii="Times New Roman Bold" w:hAnsi="Times New Roman Bold"/>
          <w:b/>
          <w:sz w:val="22"/>
        </w:rPr>
        <w:t xml:space="preserve">Table </w:t>
      </w:r>
      <w:r w:rsidR="0043024A" w:rsidRPr="0043024A">
        <w:rPr>
          <w:rFonts w:ascii="Times New Roman Bold" w:hAnsi="Times New Roman Bold"/>
          <w:b/>
          <w:noProof/>
          <w:sz w:val="22"/>
        </w:rPr>
        <w:t>21</w:t>
      </w:r>
      <w:r w:rsidR="0043024A" w:rsidRPr="0043024A">
        <w:rPr>
          <w:rFonts w:ascii="Times New Roman Bold" w:hAnsi="Times New Roman Bold"/>
          <w:b/>
          <w:sz w:val="22"/>
          <w:szCs w:val="22"/>
        </w:rPr>
        <w:fldChar w:fldCharType="end"/>
      </w:r>
      <w:r w:rsidRPr="00EF6B10">
        <w:rPr>
          <w:sz w:val="22"/>
          <w:szCs w:val="22"/>
        </w:rPr>
        <w:t>.</w:t>
      </w:r>
    </w:p>
    <w:p w:rsidR="004D05F9" w:rsidRPr="00EF6B10" w:rsidRDefault="004D05F9" w:rsidP="00EF6B10">
      <w:pPr>
        <w:widowControl w:val="0"/>
        <w:spacing w:after="120"/>
        <w:rPr>
          <w:sz w:val="22"/>
          <w:szCs w:val="22"/>
        </w:rPr>
      </w:pPr>
      <w:r w:rsidRPr="004D05F9">
        <w:rPr>
          <w:sz w:val="22"/>
          <w:szCs w:val="22"/>
        </w:rPr>
        <w:t>The CT/HRSG is expected to operate continuously as a baseload unit. To avoid shutdowns and cold startups, the unit will operate at MECL load instead of shutting down when possible. Therefore, because very few startups/shutdowns are anticipated for this unit with typical operation, startups/shutdowns are not included in the modeling. The load analysis as described above covers both full load and MECL, so all scenarios expected with typical operation of the unit are included in the modeling.</w:t>
      </w:r>
    </w:p>
    <w:p w:rsidR="00EF6B10" w:rsidRPr="0043024A" w:rsidRDefault="0043024A" w:rsidP="0043024A">
      <w:pPr>
        <w:pStyle w:val="Caption"/>
        <w:spacing w:before="0"/>
        <w:jc w:val="center"/>
        <w:rPr>
          <w:rFonts w:ascii="Times New Roman Bold" w:hAnsi="Times New Roman Bold"/>
        </w:rPr>
      </w:pPr>
      <w:bookmarkStart w:id="82" w:name="_Ref513626320"/>
      <w:bookmarkStart w:id="83" w:name="_Ref422221951"/>
      <w:r w:rsidRPr="0043024A">
        <w:rPr>
          <w:rFonts w:ascii="Times New Roman Bold" w:hAnsi="Times New Roman Bold"/>
        </w:rPr>
        <w:t xml:space="preserve">Table </w:t>
      </w:r>
      <w:r w:rsidRPr="0043024A">
        <w:rPr>
          <w:rFonts w:ascii="Times New Roman Bold" w:hAnsi="Times New Roman Bold"/>
        </w:rPr>
        <w:fldChar w:fldCharType="begin"/>
      </w:r>
      <w:r w:rsidRPr="0043024A">
        <w:rPr>
          <w:rFonts w:ascii="Times New Roman Bold" w:hAnsi="Times New Roman Bold"/>
        </w:rPr>
        <w:instrText xml:space="preserve"> SEQ Table \* ARABIC </w:instrText>
      </w:r>
      <w:r w:rsidRPr="0043024A">
        <w:rPr>
          <w:rFonts w:ascii="Times New Roman Bold" w:hAnsi="Times New Roman Bold"/>
        </w:rPr>
        <w:fldChar w:fldCharType="separate"/>
      </w:r>
      <w:r w:rsidR="007204D0">
        <w:rPr>
          <w:rFonts w:ascii="Times New Roman Bold" w:hAnsi="Times New Roman Bold"/>
          <w:noProof/>
        </w:rPr>
        <w:t>21</w:t>
      </w:r>
      <w:r w:rsidRPr="0043024A">
        <w:rPr>
          <w:rFonts w:ascii="Times New Roman Bold" w:hAnsi="Times New Roman Bold"/>
        </w:rPr>
        <w:fldChar w:fldCharType="end"/>
      </w:r>
      <w:bookmarkEnd w:id="82"/>
      <w:r w:rsidRPr="0043024A">
        <w:rPr>
          <w:rFonts w:ascii="Times New Roman Bold" w:hAnsi="Times New Roman Bold"/>
        </w:rPr>
        <w:t xml:space="preserve"> - </w:t>
      </w:r>
      <w:r w:rsidR="00EF6B10" w:rsidRPr="0043024A">
        <w:rPr>
          <w:rFonts w:ascii="Times New Roman Bold" w:hAnsi="Times New Roman Bold"/>
        </w:rPr>
        <w:t>Modeling parameters for new source associated with the project.</w:t>
      </w:r>
      <w:bookmarkEnd w:id="83"/>
    </w:p>
    <w:tbl>
      <w:tblPr>
        <w:tblStyle w:val="TableGrid"/>
        <w:tblW w:w="5000" w:type="pct"/>
        <w:jc w:val="center"/>
        <w:tblBorders>
          <w:insideH w:val="none" w:sz="0" w:space="0" w:color="auto"/>
          <w:insideV w:val="none" w:sz="0" w:space="0" w:color="auto"/>
        </w:tblBorders>
        <w:tblLook w:val="04A0" w:firstRow="1" w:lastRow="0" w:firstColumn="1" w:lastColumn="0" w:noHBand="0" w:noVBand="1"/>
      </w:tblPr>
      <w:tblGrid>
        <w:gridCol w:w="1341"/>
        <w:gridCol w:w="640"/>
        <w:gridCol w:w="917"/>
        <w:gridCol w:w="634"/>
        <w:gridCol w:w="1056"/>
        <w:gridCol w:w="953"/>
        <w:gridCol w:w="634"/>
        <w:gridCol w:w="1161"/>
        <w:gridCol w:w="973"/>
        <w:gridCol w:w="678"/>
        <w:gridCol w:w="919"/>
      </w:tblGrid>
      <w:tr w:rsidR="00C12B91" w:rsidRPr="00744B1D" w:rsidTr="008D26C5">
        <w:trPr>
          <w:trHeight w:val="307"/>
          <w:tblHeader/>
          <w:jc w:val="center"/>
        </w:trPr>
        <w:tc>
          <w:tcPr>
            <w:tcW w:w="677" w:type="pct"/>
            <w:vMerge w:val="restart"/>
            <w:tcBorders>
              <w:top w:val="single" w:sz="12" w:space="0" w:color="auto"/>
              <w:left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Stack Parameter</w:t>
            </w:r>
          </w:p>
        </w:tc>
        <w:tc>
          <w:tcPr>
            <w:tcW w:w="323" w:type="pct"/>
            <w:vMerge w:val="restart"/>
            <w:tcBorders>
              <w:top w:val="single" w:sz="12" w:space="0" w:color="auto"/>
              <w:left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Units</w:t>
            </w:r>
          </w:p>
        </w:tc>
        <w:tc>
          <w:tcPr>
            <w:tcW w:w="1316" w:type="pct"/>
            <w:gridSpan w:val="3"/>
            <w:tcBorders>
              <w:top w:val="single" w:sz="12" w:space="0" w:color="auto"/>
              <w:left w:val="single" w:sz="12" w:space="0" w:color="auto"/>
              <w:bottom w:val="single" w:sz="4"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100% Load</w:t>
            </w:r>
            <w:r>
              <w:rPr>
                <w:b/>
                <w:sz w:val="18"/>
                <w:szCs w:val="18"/>
              </w:rPr>
              <w:t xml:space="preserve"> w/ duct burning</w:t>
            </w:r>
          </w:p>
        </w:tc>
        <w:tc>
          <w:tcPr>
            <w:tcW w:w="1387" w:type="pct"/>
            <w:gridSpan w:val="3"/>
            <w:tcBorders>
              <w:top w:val="single" w:sz="12" w:space="0" w:color="auto"/>
              <w:left w:val="single" w:sz="12" w:space="0" w:color="auto"/>
              <w:bottom w:val="single" w:sz="4"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Pr>
                <w:b/>
                <w:sz w:val="18"/>
                <w:szCs w:val="18"/>
              </w:rPr>
              <w:t>100% Load</w:t>
            </w:r>
          </w:p>
        </w:tc>
        <w:tc>
          <w:tcPr>
            <w:tcW w:w="1297" w:type="pct"/>
            <w:gridSpan w:val="3"/>
            <w:tcBorders>
              <w:top w:val="single" w:sz="12" w:space="0" w:color="auto"/>
              <w:left w:val="single" w:sz="12" w:space="0" w:color="auto"/>
              <w:bottom w:val="single" w:sz="4"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Pr>
                <w:b/>
                <w:sz w:val="18"/>
                <w:szCs w:val="18"/>
              </w:rPr>
              <w:t>MECL</w:t>
            </w:r>
          </w:p>
        </w:tc>
      </w:tr>
      <w:tr w:rsidR="00A90A3B" w:rsidRPr="00744B1D" w:rsidTr="00CB10C8">
        <w:trPr>
          <w:trHeight w:val="278"/>
          <w:jc w:val="center"/>
        </w:trPr>
        <w:tc>
          <w:tcPr>
            <w:tcW w:w="677" w:type="pct"/>
            <w:vMerge/>
            <w:tcBorders>
              <w:left w:val="single" w:sz="12" w:space="0" w:color="auto"/>
              <w:bottom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p>
        </w:tc>
        <w:tc>
          <w:tcPr>
            <w:tcW w:w="323" w:type="pct"/>
            <w:vMerge/>
            <w:tcBorders>
              <w:left w:val="single" w:sz="12" w:space="0" w:color="auto"/>
              <w:bottom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p>
        </w:tc>
        <w:tc>
          <w:tcPr>
            <w:tcW w:w="463" w:type="pct"/>
            <w:tcBorders>
              <w:top w:val="single" w:sz="4" w:space="0" w:color="auto"/>
              <w:left w:val="single" w:sz="12" w:space="0" w:color="auto"/>
              <w:bottom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3</w:t>
            </w:r>
            <w:r>
              <w:rPr>
                <w:b/>
                <w:sz w:val="18"/>
                <w:szCs w:val="18"/>
              </w:rPr>
              <w:t>0</w:t>
            </w:r>
            <w:r w:rsidRPr="00D96C70">
              <w:rPr>
                <w:b/>
                <w:sz w:val="18"/>
                <w:szCs w:val="18"/>
              </w:rPr>
              <w:t>°F</w:t>
            </w:r>
          </w:p>
        </w:tc>
        <w:tc>
          <w:tcPr>
            <w:tcW w:w="320" w:type="pct"/>
            <w:tcBorders>
              <w:top w:val="single" w:sz="4" w:space="0" w:color="auto"/>
              <w:bottom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59°F</w:t>
            </w:r>
          </w:p>
        </w:tc>
        <w:tc>
          <w:tcPr>
            <w:tcW w:w="532" w:type="pct"/>
            <w:tcBorders>
              <w:top w:val="single" w:sz="4" w:space="0" w:color="auto"/>
              <w:bottom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95°F</w:t>
            </w:r>
          </w:p>
        </w:tc>
        <w:tc>
          <w:tcPr>
            <w:tcW w:w="481" w:type="pct"/>
            <w:tcBorders>
              <w:left w:val="single" w:sz="12" w:space="0" w:color="auto"/>
              <w:bottom w:val="single" w:sz="12" w:space="0" w:color="auto"/>
            </w:tcBorders>
            <w:shd w:val="clear" w:color="auto" w:fill="B8CCE4"/>
            <w:vAlign w:val="center"/>
          </w:tcPr>
          <w:p w:rsidR="00C12B91" w:rsidRPr="00D96C70" w:rsidRDefault="00C12B91" w:rsidP="00CF08C0">
            <w:pPr>
              <w:keepNext/>
              <w:jc w:val="center"/>
              <w:rPr>
                <w:b/>
                <w:sz w:val="18"/>
                <w:szCs w:val="18"/>
              </w:rPr>
            </w:pPr>
            <w:r>
              <w:rPr>
                <w:b/>
                <w:sz w:val="18"/>
                <w:szCs w:val="18"/>
              </w:rPr>
              <w:t>30</w:t>
            </w:r>
            <w:r w:rsidRPr="00D96C70">
              <w:rPr>
                <w:b/>
                <w:sz w:val="18"/>
                <w:szCs w:val="18"/>
              </w:rPr>
              <w:t>°F</w:t>
            </w:r>
          </w:p>
        </w:tc>
        <w:tc>
          <w:tcPr>
            <w:tcW w:w="320" w:type="pct"/>
            <w:tcBorders>
              <w:bottom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59°F</w:t>
            </w:r>
          </w:p>
        </w:tc>
        <w:tc>
          <w:tcPr>
            <w:tcW w:w="586" w:type="pct"/>
            <w:tcBorders>
              <w:bottom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95°F</w:t>
            </w:r>
          </w:p>
        </w:tc>
        <w:tc>
          <w:tcPr>
            <w:tcW w:w="491" w:type="pct"/>
            <w:tcBorders>
              <w:top w:val="single" w:sz="4" w:space="0" w:color="auto"/>
              <w:left w:val="single" w:sz="12" w:space="0" w:color="auto"/>
              <w:bottom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3</w:t>
            </w:r>
            <w:r>
              <w:rPr>
                <w:b/>
                <w:sz w:val="18"/>
                <w:szCs w:val="18"/>
              </w:rPr>
              <w:t>0</w:t>
            </w:r>
            <w:r w:rsidRPr="00D96C70">
              <w:rPr>
                <w:b/>
                <w:sz w:val="18"/>
                <w:szCs w:val="18"/>
              </w:rPr>
              <w:t>°F</w:t>
            </w:r>
          </w:p>
        </w:tc>
        <w:tc>
          <w:tcPr>
            <w:tcW w:w="342" w:type="pct"/>
            <w:tcBorders>
              <w:top w:val="single" w:sz="4" w:space="0" w:color="auto"/>
              <w:bottom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59°F</w:t>
            </w:r>
          </w:p>
        </w:tc>
        <w:tc>
          <w:tcPr>
            <w:tcW w:w="464" w:type="pct"/>
            <w:tcBorders>
              <w:top w:val="single" w:sz="4" w:space="0" w:color="auto"/>
              <w:bottom w:val="single" w:sz="12" w:space="0" w:color="auto"/>
              <w:right w:val="single" w:sz="12" w:space="0" w:color="auto"/>
            </w:tcBorders>
            <w:shd w:val="clear" w:color="auto" w:fill="B8CCE4"/>
            <w:vAlign w:val="center"/>
          </w:tcPr>
          <w:p w:rsidR="00C12B91" w:rsidRPr="00D96C70" w:rsidRDefault="00C12B91" w:rsidP="00CF08C0">
            <w:pPr>
              <w:keepNext/>
              <w:jc w:val="center"/>
              <w:rPr>
                <w:b/>
                <w:sz w:val="18"/>
                <w:szCs w:val="18"/>
              </w:rPr>
            </w:pPr>
            <w:r w:rsidRPr="00D96C70">
              <w:rPr>
                <w:b/>
                <w:sz w:val="18"/>
                <w:szCs w:val="18"/>
              </w:rPr>
              <w:t>95°F</w:t>
            </w:r>
          </w:p>
        </w:tc>
      </w:tr>
      <w:tr w:rsidR="00C12B91" w:rsidRPr="00744B1D" w:rsidTr="008D26C5">
        <w:trPr>
          <w:trHeight w:val="277"/>
          <w:jc w:val="center"/>
        </w:trPr>
        <w:tc>
          <w:tcPr>
            <w:tcW w:w="677" w:type="pct"/>
            <w:tcBorders>
              <w:top w:val="single" w:sz="12" w:space="0" w:color="auto"/>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Height</w:t>
            </w:r>
          </w:p>
        </w:tc>
        <w:tc>
          <w:tcPr>
            <w:tcW w:w="323" w:type="pct"/>
            <w:tcBorders>
              <w:top w:val="single" w:sz="12" w:space="0" w:color="auto"/>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ft</w:t>
            </w:r>
          </w:p>
        </w:tc>
        <w:tc>
          <w:tcPr>
            <w:tcW w:w="463" w:type="pct"/>
            <w:tcBorders>
              <w:top w:val="single" w:sz="12" w:space="0" w:color="auto"/>
              <w:lef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320" w:type="pct"/>
            <w:tcBorders>
              <w:top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532" w:type="pct"/>
            <w:tcBorders>
              <w:top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481" w:type="pct"/>
            <w:tcBorders>
              <w:top w:val="single" w:sz="12" w:space="0" w:color="auto"/>
              <w:lef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320" w:type="pct"/>
            <w:tcBorders>
              <w:top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586" w:type="pct"/>
            <w:tcBorders>
              <w:top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491" w:type="pct"/>
            <w:tcBorders>
              <w:top w:val="single" w:sz="12" w:space="0" w:color="auto"/>
              <w:lef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342" w:type="pct"/>
            <w:tcBorders>
              <w:top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c>
          <w:tcPr>
            <w:tcW w:w="464" w:type="pct"/>
            <w:tcBorders>
              <w:top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149</w:t>
            </w:r>
          </w:p>
        </w:tc>
      </w:tr>
      <w:tr w:rsidR="00C12B91" w:rsidRPr="00744B1D" w:rsidTr="008D26C5">
        <w:trPr>
          <w:trHeight w:val="277"/>
          <w:jc w:val="center"/>
        </w:trPr>
        <w:tc>
          <w:tcPr>
            <w:tcW w:w="677" w:type="pct"/>
            <w:tcBorders>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Diameter</w:t>
            </w:r>
          </w:p>
        </w:tc>
        <w:tc>
          <w:tcPr>
            <w:tcW w:w="323" w:type="pct"/>
            <w:tcBorders>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ft</w:t>
            </w:r>
          </w:p>
        </w:tc>
        <w:tc>
          <w:tcPr>
            <w:tcW w:w="463" w:type="pct"/>
            <w:tcBorders>
              <w:left w:val="single" w:sz="12" w:space="0" w:color="auto"/>
            </w:tcBorders>
            <w:vAlign w:val="center"/>
          </w:tcPr>
          <w:p w:rsidR="00C12B91" w:rsidRPr="00D96C70" w:rsidRDefault="00AB75DE" w:rsidP="00CF08C0">
            <w:pPr>
              <w:keepNext/>
              <w:jc w:val="center"/>
              <w:rPr>
                <w:sz w:val="18"/>
                <w:szCs w:val="18"/>
              </w:rPr>
            </w:pPr>
            <w:r>
              <w:rPr>
                <w:sz w:val="18"/>
                <w:szCs w:val="18"/>
              </w:rPr>
              <w:t>23.0</w:t>
            </w:r>
          </w:p>
        </w:tc>
        <w:tc>
          <w:tcPr>
            <w:tcW w:w="320" w:type="pct"/>
            <w:vAlign w:val="center"/>
          </w:tcPr>
          <w:p w:rsidR="00C12B91" w:rsidRPr="00D96C70" w:rsidRDefault="00AB75DE" w:rsidP="00CF08C0">
            <w:pPr>
              <w:keepNext/>
              <w:jc w:val="center"/>
              <w:rPr>
                <w:sz w:val="18"/>
                <w:szCs w:val="18"/>
              </w:rPr>
            </w:pPr>
            <w:r>
              <w:rPr>
                <w:sz w:val="18"/>
                <w:szCs w:val="18"/>
              </w:rPr>
              <w:t>23.0</w:t>
            </w:r>
          </w:p>
        </w:tc>
        <w:tc>
          <w:tcPr>
            <w:tcW w:w="532" w:type="pct"/>
            <w:tcBorders>
              <w:right w:val="single" w:sz="12" w:space="0" w:color="auto"/>
            </w:tcBorders>
            <w:vAlign w:val="center"/>
          </w:tcPr>
          <w:p w:rsidR="00C12B91" w:rsidRPr="00D96C70" w:rsidRDefault="00AB75DE" w:rsidP="00CF08C0">
            <w:pPr>
              <w:keepNext/>
              <w:jc w:val="center"/>
              <w:rPr>
                <w:sz w:val="18"/>
                <w:szCs w:val="18"/>
              </w:rPr>
            </w:pPr>
            <w:r>
              <w:rPr>
                <w:sz w:val="18"/>
                <w:szCs w:val="18"/>
              </w:rPr>
              <w:t>23.0</w:t>
            </w:r>
          </w:p>
        </w:tc>
        <w:tc>
          <w:tcPr>
            <w:tcW w:w="481" w:type="pct"/>
            <w:tcBorders>
              <w:left w:val="single" w:sz="12" w:space="0" w:color="auto"/>
            </w:tcBorders>
            <w:vAlign w:val="center"/>
          </w:tcPr>
          <w:p w:rsidR="00C12B91" w:rsidRPr="00D96C70" w:rsidRDefault="00AB75DE" w:rsidP="00CF08C0">
            <w:pPr>
              <w:keepNext/>
              <w:jc w:val="center"/>
              <w:rPr>
                <w:sz w:val="18"/>
                <w:szCs w:val="18"/>
              </w:rPr>
            </w:pPr>
            <w:r>
              <w:rPr>
                <w:sz w:val="18"/>
                <w:szCs w:val="18"/>
              </w:rPr>
              <w:t>23.0</w:t>
            </w:r>
          </w:p>
        </w:tc>
        <w:tc>
          <w:tcPr>
            <w:tcW w:w="320" w:type="pct"/>
            <w:vAlign w:val="center"/>
          </w:tcPr>
          <w:p w:rsidR="00C12B91" w:rsidRPr="00D96C70" w:rsidRDefault="00AB75DE" w:rsidP="00CF08C0">
            <w:pPr>
              <w:keepNext/>
              <w:jc w:val="center"/>
              <w:rPr>
                <w:sz w:val="18"/>
                <w:szCs w:val="18"/>
              </w:rPr>
            </w:pPr>
            <w:r>
              <w:rPr>
                <w:sz w:val="18"/>
                <w:szCs w:val="18"/>
              </w:rPr>
              <w:t>23.0</w:t>
            </w:r>
          </w:p>
        </w:tc>
        <w:tc>
          <w:tcPr>
            <w:tcW w:w="586" w:type="pct"/>
            <w:tcBorders>
              <w:right w:val="single" w:sz="12" w:space="0" w:color="auto"/>
            </w:tcBorders>
            <w:vAlign w:val="center"/>
          </w:tcPr>
          <w:p w:rsidR="00C12B91" w:rsidRPr="00D96C70" w:rsidRDefault="00AB75DE" w:rsidP="00CF08C0">
            <w:pPr>
              <w:keepNext/>
              <w:jc w:val="center"/>
              <w:rPr>
                <w:sz w:val="18"/>
                <w:szCs w:val="18"/>
              </w:rPr>
            </w:pPr>
            <w:r>
              <w:rPr>
                <w:sz w:val="18"/>
                <w:szCs w:val="18"/>
              </w:rPr>
              <w:t>23.0</w:t>
            </w:r>
          </w:p>
        </w:tc>
        <w:tc>
          <w:tcPr>
            <w:tcW w:w="491" w:type="pct"/>
            <w:tcBorders>
              <w:left w:val="single" w:sz="12" w:space="0" w:color="auto"/>
            </w:tcBorders>
            <w:vAlign w:val="center"/>
          </w:tcPr>
          <w:p w:rsidR="00C12B91" w:rsidRPr="00D96C70" w:rsidRDefault="00AB75DE" w:rsidP="00CF08C0">
            <w:pPr>
              <w:keepNext/>
              <w:jc w:val="center"/>
              <w:rPr>
                <w:sz w:val="18"/>
                <w:szCs w:val="18"/>
              </w:rPr>
            </w:pPr>
            <w:r>
              <w:rPr>
                <w:sz w:val="18"/>
                <w:szCs w:val="18"/>
              </w:rPr>
              <w:t>23.0</w:t>
            </w:r>
          </w:p>
        </w:tc>
        <w:tc>
          <w:tcPr>
            <w:tcW w:w="342" w:type="pct"/>
            <w:vAlign w:val="center"/>
          </w:tcPr>
          <w:p w:rsidR="00C12B91" w:rsidRPr="00D96C70" w:rsidRDefault="00AB75DE" w:rsidP="00CF08C0">
            <w:pPr>
              <w:keepNext/>
              <w:jc w:val="center"/>
              <w:rPr>
                <w:sz w:val="18"/>
                <w:szCs w:val="18"/>
              </w:rPr>
            </w:pPr>
            <w:r>
              <w:rPr>
                <w:sz w:val="18"/>
                <w:szCs w:val="18"/>
              </w:rPr>
              <w:t>23.0</w:t>
            </w:r>
          </w:p>
        </w:tc>
        <w:tc>
          <w:tcPr>
            <w:tcW w:w="464" w:type="pct"/>
            <w:tcBorders>
              <w:right w:val="single" w:sz="12" w:space="0" w:color="auto"/>
            </w:tcBorders>
            <w:vAlign w:val="center"/>
          </w:tcPr>
          <w:p w:rsidR="00C12B91" w:rsidRPr="00D96C70" w:rsidRDefault="00AB75DE" w:rsidP="00CF08C0">
            <w:pPr>
              <w:keepNext/>
              <w:jc w:val="center"/>
              <w:rPr>
                <w:sz w:val="18"/>
                <w:szCs w:val="18"/>
              </w:rPr>
            </w:pPr>
            <w:r>
              <w:rPr>
                <w:sz w:val="18"/>
                <w:szCs w:val="18"/>
              </w:rPr>
              <w:t>23.0</w:t>
            </w:r>
          </w:p>
        </w:tc>
      </w:tr>
      <w:tr w:rsidR="00C12B91" w:rsidRPr="00744B1D" w:rsidTr="008D26C5">
        <w:trPr>
          <w:trHeight w:val="277"/>
          <w:jc w:val="center"/>
        </w:trPr>
        <w:tc>
          <w:tcPr>
            <w:tcW w:w="677" w:type="pct"/>
            <w:tcBorders>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Exit Temp</w:t>
            </w:r>
          </w:p>
        </w:tc>
        <w:tc>
          <w:tcPr>
            <w:tcW w:w="323" w:type="pct"/>
            <w:tcBorders>
              <w:left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°F</w:t>
            </w:r>
          </w:p>
        </w:tc>
        <w:tc>
          <w:tcPr>
            <w:tcW w:w="463" w:type="pct"/>
            <w:tcBorders>
              <w:left w:val="single" w:sz="12" w:space="0" w:color="auto"/>
            </w:tcBorders>
            <w:vAlign w:val="center"/>
          </w:tcPr>
          <w:p w:rsidR="00C12B91" w:rsidRPr="00D96C70" w:rsidRDefault="00C12B91" w:rsidP="00CF08C0">
            <w:pPr>
              <w:keepNext/>
              <w:jc w:val="center"/>
              <w:rPr>
                <w:sz w:val="18"/>
                <w:szCs w:val="18"/>
              </w:rPr>
            </w:pPr>
            <w:r>
              <w:rPr>
                <w:sz w:val="18"/>
                <w:szCs w:val="18"/>
              </w:rPr>
              <w:t>159.7</w:t>
            </w:r>
          </w:p>
        </w:tc>
        <w:tc>
          <w:tcPr>
            <w:tcW w:w="320" w:type="pct"/>
            <w:vAlign w:val="center"/>
          </w:tcPr>
          <w:p w:rsidR="00C12B91" w:rsidRPr="00D96C70" w:rsidRDefault="00C12B91" w:rsidP="00CF08C0">
            <w:pPr>
              <w:keepNext/>
              <w:jc w:val="center"/>
              <w:rPr>
                <w:sz w:val="18"/>
                <w:szCs w:val="18"/>
              </w:rPr>
            </w:pPr>
            <w:r>
              <w:rPr>
                <w:sz w:val="18"/>
                <w:szCs w:val="18"/>
              </w:rPr>
              <w:t>161.1</w:t>
            </w:r>
          </w:p>
        </w:tc>
        <w:tc>
          <w:tcPr>
            <w:tcW w:w="532" w:type="pct"/>
            <w:tcBorders>
              <w:right w:val="single" w:sz="12" w:space="0" w:color="auto"/>
            </w:tcBorders>
            <w:vAlign w:val="center"/>
          </w:tcPr>
          <w:p w:rsidR="00C12B91" w:rsidRPr="00D96C70" w:rsidRDefault="00C12B91" w:rsidP="00CF08C0">
            <w:pPr>
              <w:keepNext/>
              <w:jc w:val="center"/>
              <w:rPr>
                <w:sz w:val="18"/>
                <w:szCs w:val="18"/>
              </w:rPr>
            </w:pPr>
            <w:r>
              <w:rPr>
                <w:sz w:val="18"/>
                <w:szCs w:val="18"/>
              </w:rPr>
              <w:t>167.3</w:t>
            </w:r>
          </w:p>
        </w:tc>
        <w:tc>
          <w:tcPr>
            <w:tcW w:w="481" w:type="pct"/>
            <w:tcBorders>
              <w:left w:val="single" w:sz="12" w:space="0" w:color="auto"/>
            </w:tcBorders>
            <w:vAlign w:val="center"/>
          </w:tcPr>
          <w:p w:rsidR="00C12B91" w:rsidRPr="00D96C70" w:rsidRDefault="00C12B91" w:rsidP="00CF08C0">
            <w:pPr>
              <w:keepNext/>
              <w:jc w:val="center"/>
              <w:rPr>
                <w:sz w:val="18"/>
                <w:szCs w:val="18"/>
              </w:rPr>
            </w:pPr>
            <w:r>
              <w:rPr>
                <w:sz w:val="18"/>
                <w:szCs w:val="18"/>
              </w:rPr>
              <w:t>165.7</w:t>
            </w:r>
          </w:p>
        </w:tc>
        <w:tc>
          <w:tcPr>
            <w:tcW w:w="320" w:type="pct"/>
            <w:vAlign w:val="center"/>
          </w:tcPr>
          <w:p w:rsidR="00C12B91" w:rsidRPr="00D96C70" w:rsidRDefault="00C12B91" w:rsidP="00CF08C0">
            <w:pPr>
              <w:keepNext/>
              <w:jc w:val="center"/>
              <w:rPr>
                <w:sz w:val="18"/>
                <w:szCs w:val="18"/>
              </w:rPr>
            </w:pPr>
            <w:r>
              <w:rPr>
                <w:sz w:val="18"/>
                <w:szCs w:val="18"/>
              </w:rPr>
              <w:t>166.1</w:t>
            </w:r>
          </w:p>
        </w:tc>
        <w:tc>
          <w:tcPr>
            <w:tcW w:w="586" w:type="pct"/>
            <w:tcBorders>
              <w:right w:val="single" w:sz="12" w:space="0" w:color="auto"/>
            </w:tcBorders>
            <w:vAlign w:val="center"/>
          </w:tcPr>
          <w:p w:rsidR="00C12B91" w:rsidRPr="00D96C70" w:rsidRDefault="00C12B91" w:rsidP="00CF08C0">
            <w:pPr>
              <w:keepNext/>
              <w:jc w:val="center"/>
              <w:rPr>
                <w:sz w:val="18"/>
                <w:szCs w:val="18"/>
              </w:rPr>
            </w:pPr>
            <w:r>
              <w:rPr>
                <w:sz w:val="18"/>
                <w:szCs w:val="18"/>
              </w:rPr>
              <w:t>175.0</w:t>
            </w:r>
          </w:p>
        </w:tc>
        <w:tc>
          <w:tcPr>
            <w:tcW w:w="491" w:type="pct"/>
            <w:tcBorders>
              <w:left w:val="single" w:sz="12" w:space="0" w:color="auto"/>
            </w:tcBorders>
            <w:vAlign w:val="center"/>
          </w:tcPr>
          <w:p w:rsidR="00C12B91" w:rsidRPr="00D96C70" w:rsidRDefault="00C12B91" w:rsidP="00CF08C0">
            <w:pPr>
              <w:keepNext/>
              <w:jc w:val="center"/>
              <w:rPr>
                <w:sz w:val="18"/>
                <w:szCs w:val="18"/>
              </w:rPr>
            </w:pPr>
            <w:r>
              <w:rPr>
                <w:sz w:val="18"/>
                <w:szCs w:val="18"/>
              </w:rPr>
              <w:t>151.3</w:t>
            </w:r>
          </w:p>
        </w:tc>
        <w:tc>
          <w:tcPr>
            <w:tcW w:w="342" w:type="pct"/>
            <w:vAlign w:val="center"/>
          </w:tcPr>
          <w:p w:rsidR="00C12B91" w:rsidRPr="00D96C70" w:rsidRDefault="00C12B91" w:rsidP="00CF08C0">
            <w:pPr>
              <w:keepNext/>
              <w:jc w:val="center"/>
              <w:rPr>
                <w:sz w:val="18"/>
                <w:szCs w:val="18"/>
              </w:rPr>
            </w:pPr>
            <w:r>
              <w:rPr>
                <w:sz w:val="18"/>
                <w:szCs w:val="18"/>
              </w:rPr>
              <w:t>151.9</w:t>
            </w:r>
          </w:p>
        </w:tc>
        <w:tc>
          <w:tcPr>
            <w:tcW w:w="464" w:type="pct"/>
            <w:tcBorders>
              <w:right w:val="single" w:sz="12" w:space="0" w:color="auto"/>
            </w:tcBorders>
            <w:vAlign w:val="center"/>
          </w:tcPr>
          <w:p w:rsidR="00C12B91" w:rsidRPr="00D96C70" w:rsidRDefault="00C12B91" w:rsidP="00CF08C0">
            <w:pPr>
              <w:keepNext/>
              <w:jc w:val="center"/>
              <w:rPr>
                <w:sz w:val="18"/>
                <w:szCs w:val="18"/>
              </w:rPr>
            </w:pPr>
            <w:r>
              <w:rPr>
                <w:sz w:val="18"/>
                <w:szCs w:val="18"/>
              </w:rPr>
              <w:t>161.6</w:t>
            </w:r>
          </w:p>
        </w:tc>
      </w:tr>
      <w:tr w:rsidR="00C12B91" w:rsidRPr="00744B1D" w:rsidTr="008D26C5">
        <w:trPr>
          <w:trHeight w:val="257"/>
          <w:jc w:val="center"/>
        </w:trPr>
        <w:tc>
          <w:tcPr>
            <w:tcW w:w="677" w:type="pct"/>
            <w:tcBorders>
              <w:left w:val="single" w:sz="12" w:space="0" w:color="auto"/>
              <w:bottom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Exit Velocity</w:t>
            </w:r>
          </w:p>
        </w:tc>
        <w:tc>
          <w:tcPr>
            <w:tcW w:w="323" w:type="pct"/>
            <w:tcBorders>
              <w:left w:val="single" w:sz="12" w:space="0" w:color="auto"/>
              <w:bottom w:val="single" w:sz="12" w:space="0" w:color="auto"/>
              <w:right w:val="single" w:sz="12" w:space="0" w:color="auto"/>
            </w:tcBorders>
            <w:vAlign w:val="center"/>
          </w:tcPr>
          <w:p w:rsidR="00C12B91" w:rsidRPr="00D96C70" w:rsidRDefault="00C12B91" w:rsidP="00CF08C0">
            <w:pPr>
              <w:keepNext/>
              <w:jc w:val="center"/>
              <w:rPr>
                <w:sz w:val="18"/>
                <w:szCs w:val="18"/>
              </w:rPr>
            </w:pPr>
            <w:r w:rsidRPr="00D96C70">
              <w:rPr>
                <w:sz w:val="18"/>
                <w:szCs w:val="18"/>
              </w:rPr>
              <w:t>ft/sec</w:t>
            </w:r>
          </w:p>
        </w:tc>
        <w:tc>
          <w:tcPr>
            <w:tcW w:w="463" w:type="pct"/>
            <w:tcBorders>
              <w:left w:val="single" w:sz="12" w:space="0" w:color="auto"/>
              <w:bottom w:val="single" w:sz="12" w:space="0" w:color="auto"/>
            </w:tcBorders>
            <w:vAlign w:val="center"/>
          </w:tcPr>
          <w:p w:rsidR="00C12B91" w:rsidRPr="00D96C70" w:rsidRDefault="003730B4" w:rsidP="00CF08C0">
            <w:pPr>
              <w:keepNext/>
              <w:jc w:val="center"/>
              <w:rPr>
                <w:sz w:val="18"/>
                <w:szCs w:val="18"/>
              </w:rPr>
            </w:pPr>
            <w:r>
              <w:rPr>
                <w:sz w:val="18"/>
                <w:szCs w:val="18"/>
              </w:rPr>
              <w:t>67.</w:t>
            </w:r>
            <w:r w:rsidR="0008288C">
              <w:rPr>
                <w:sz w:val="18"/>
                <w:szCs w:val="18"/>
              </w:rPr>
              <w:t>5</w:t>
            </w:r>
          </w:p>
        </w:tc>
        <w:tc>
          <w:tcPr>
            <w:tcW w:w="320" w:type="pct"/>
            <w:tcBorders>
              <w:bottom w:val="single" w:sz="12" w:space="0" w:color="auto"/>
            </w:tcBorders>
            <w:vAlign w:val="center"/>
          </w:tcPr>
          <w:p w:rsidR="00C12B91" w:rsidRPr="00D96C70" w:rsidRDefault="003730B4" w:rsidP="00CF08C0">
            <w:pPr>
              <w:keepNext/>
              <w:jc w:val="center"/>
              <w:rPr>
                <w:sz w:val="18"/>
                <w:szCs w:val="18"/>
              </w:rPr>
            </w:pPr>
            <w:r>
              <w:rPr>
                <w:sz w:val="18"/>
                <w:szCs w:val="18"/>
              </w:rPr>
              <w:t>65.2</w:t>
            </w:r>
          </w:p>
        </w:tc>
        <w:tc>
          <w:tcPr>
            <w:tcW w:w="532" w:type="pct"/>
            <w:tcBorders>
              <w:bottom w:val="single" w:sz="12" w:space="0" w:color="auto"/>
              <w:right w:val="single" w:sz="12" w:space="0" w:color="auto"/>
            </w:tcBorders>
            <w:vAlign w:val="center"/>
          </w:tcPr>
          <w:p w:rsidR="00C12B91" w:rsidRPr="00D96C70" w:rsidRDefault="00FB5A93" w:rsidP="00CF08C0">
            <w:pPr>
              <w:keepNext/>
              <w:jc w:val="center"/>
              <w:rPr>
                <w:sz w:val="18"/>
                <w:szCs w:val="18"/>
              </w:rPr>
            </w:pPr>
            <w:r>
              <w:rPr>
                <w:sz w:val="18"/>
                <w:szCs w:val="18"/>
              </w:rPr>
              <w:t>62.9</w:t>
            </w:r>
          </w:p>
        </w:tc>
        <w:tc>
          <w:tcPr>
            <w:tcW w:w="481" w:type="pct"/>
            <w:tcBorders>
              <w:left w:val="single" w:sz="12" w:space="0" w:color="auto"/>
              <w:bottom w:val="single" w:sz="12" w:space="0" w:color="auto"/>
            </w:tcBorders>
            <w:vAlign w:val="center"/>
          </w:tcPr>
          <w:p w:rsidR="00C12B91" w:rsidRPr="00D96C70" w:rsidRDefault="003730B4" w:rsidP="00CF08C0">
            <w:pPr>
              <w:keepNext/>
              <w:jc w:val="center"/>
              <w:rPr>
                <w:sz w:val="18"/>
                <w:szCs w:val="18"/>
              </w:rPr>
            </w:pPr>
            <w:r>
              <w:rPr>
                <w:sz w:val="18"/>
                <w:szCs w:val="18"/>
              </w:rPr>
              <w:t>68.1</w:t>
            </w:r>
          </w:p>
        </w:tc>
        <w:tc>
          <w:tcPr>
            <w:tcW w:w="320" w:type="pct"/>
            <w:tcBorders>
              <w:bottom w:val="single" w:sz="12" w:space="0" w:color="auto"/>
            </w:tcBorders>
            <w:vAlign w:val="center"/>
          </w:tcPr>
          <w:p w:rsidR="00C12B91" w:rsidRPr="00D96C70" w:rsidRDefault="003730B4" w:rsidP="00CF08C0">
            <w:pPr>
              <w:keepNext/>
              <w:jc w:val="center"/>
              <w:rPr>
                <w:sz w:val="18"/>
                <w:szCs w:val="18"/>
              </w:rPr>
            </w:pPr>
            <w:r>
              <w:rPr>
                <w:sz w:val="18"/>
                <w:szCs w:val="18"/>
              </w:rPr>
              <w:t>66.2</w:t>
            </w:r>
          </w:p>
        </w:tc>
        <w:tc>
          <w:tcPr>
            <w:tcW w:w="586" w:type="pct"/>
            <w:tcBorders>
              <w:bottom w:val="single" w:sz="12" w:space="0" w:color="auto"/>
              <w:right w:val="single" w:sz="12" w:space="0" w:color="auto"/>
            </w:tcBorders>
            <w:vAlign w:val="center"/>
          </w:tcPr>
          <w:p w:rsidR="00C12B91" w:rsidRPr="00D96C70" w:rsidRDefault="003730B4" w:rsidP="00CF08C0">
            <w:pPr>
              <w:keepNext/>
              <w:jc w:val="center"/>
              <w:rPr>
                <w:sz w:val="18"/>
                <w:szCs w:val="18"/>
              </w:rPr>
            </w:pPr>
            <w:r>
              <w:rPr>
                <w:sz w:val="18"/>
                <w:szCs w:val="18"/>
              </w:rPr>
              <w:t>65.6</w:t>
            </w:r>
          </w:p>
        </w:tc>
        <w:tc>
          <w:tcPr>
            <w:tcW w:w="491" w:type="pct"/>
            <w:tcBorders>
              <w:left w:val="single" w:sz="12" w:space="0" w:color="auto"/>
              <w:bottom w:val="single" w:sz="12" w:space="0" w:color="auto"/>
            </w:tcBorders>
            <w:vAlign w:val="center"/>
          </w:tcPr>
          <w:p w:rsidR="00C12B91" w:rsidRPr="00D96C70" w:rsidRDefault="003730B4" w:rsidP="00CF08C0">
            <w:pPr>
              <w:keepNext/>
              <w:jc w:val="center"/>
              <w:rPr>
                <w:sz w:val="18"/>
                <w:szCs w:val="18"/>
              </w:rPr>
            </w:pPr>
            <w:r>
              <w:rPr>
                <w:sz w:val="18"/>
                <w:szCs w:val="18"/>
              </w:rPr>
              <w:t>32.1</w:t>
            </w:r>
          </w:p>
        </w:tc>
        <w:tc>
          <w:tcPr>
            <w:tcW w:w="342" w:type="pct"/>
            <w:tcBorders>
              <w:bottom w:val="single" w:sz="12" w:space="0" w:color="auto"/>
            </w:tcBorders>
            <w:vAlign w:val="center"/>
          </w:tcPr>
          <w:p w:rsidR="00C12B91" w:rsidRPr="00D96C70" w:rsidRDefault="003730B4" w:rsidP="00CF08C0">
            <w:pPr>
              <w:keepNext/>
              <w:jc w:val="center"/>
              <w:rPr>
                <w:sz w:val="18"/>
                <w:szCs w:val="18"/>
              </w:rPr>
            </w:pPr>
            <w:r>
              <w:rPr>
                <w:sz w:val="18"/>
                <w:szCs w:val="18"/>
              </w:rPr>
              <w:t>31.4</w:t>
            </w:r>
          </w:p>
        </w:tc>
        <w:tc>
          <w:tcPr>
            <w:tcW w:w="464" w:type="pct"/>
            <w:tcBorders>
              <w:bottom w:val="single" w:sz="12" w:space="0" w:color="auto"/>
              <w:right w:val="single" w:sz="12" w:space="0" w:color="auto"/>
            </w:tcBorders>
            <w:vAlign w:val="center"/>
          </w:tcPr>
          <w:p w:rsidR="00C12B91" w:rsidRPr="00D96C70" w:rsidRDefault="003730B4" w:rsidP="00CF08C0">
            <w:pPr>
              <w:keepNext/>
              <w:jc w:val="center"/>
              <w:rPr>
                <w:sz w:val="18"/>
                <w:szCs w:val="18"/>
              </w:rPr>
            </w:pPr>
            <w:r>
              <w:rPr>
                <w:sz w:val="18"/>
                <w:szCs w:val="18"/>
              </w:rPr>
              <w:t>35.</w:t>
            </w:r>
            <w:r w:rsidR="00FB5A93">
              <w:rPr>
                <w:sz w:val="18"/>
                <w:szCs w:val="18"/>
              </w:rPr>
              <w:t>8</w:t>
            </w:r>
          </w:p>
        </w:tc>
      </w:tr>
    </w:tbl>
    <w:p w:rsidR="00EF6B10" w:rsidRPr="00EF6B10" w:rsidRDefault="00EF6B10" w:rsidP="00C12B91">
      <w:pPr>
        <w:widowControl w:val="0"/>
        <w:spacing w:before="120" w:after="120"/>
        <w:rPr>
          <w:sz w:val="22"/>
          <w:szCs w:val="22"/>
        </w:rPr>
      </w:pPr>
      <w:r w:rsidRPr="00EF6B10">
        <w:rPr>
          <w:sz w:val="22"/>
          <w:szCs w:val="22"/>
        </w:rPr>
        <w:t>The PM</w:t>
      </w:r>
      <w:r w:rsidRPr="00EF6B10">
        <w:rPr>
          <w:sz w:val="22"/>
          <w:szCs w:val="22"/>
          <w:vertAlign w:val="subscript"/>
        </w:rPr>
        <w:t>10</w:t>
      </w:r>
      <w:r w:rsidRPr="00EF6B10">
        <w:rPr>
          <w:sz w:val="22"/>
          <w:szCs w:val="22"/>
        </w:rPr>
        <w:t xml:space="preserve"> modeling also included the cooling tower. </w:t>
      </w:r>
      <w:r w:rsidR="00726111">
        <w:rPr>
          <w:sz w:val="22"/>
          <w:szCs w:val="22"/>
        </w:rPr>
        <w:t xml:space="preserve"> </w:t>
      </w:r>
      <w:r w:rsidRPr="00EF6B10">
        <w:rPr>
          <w:sz w:val="22"/>
          <w:szCs w:val="22"/>
        </w:rPr>
        <w:t>Emissions from the cooling tower are based on a Total Dissolved Solids (TDS) concentration that results in maximum PM emissions.</w:t>
      </w:r>
    </w:p>
    <w:p w:rsidR="00EF6B10" w:rsidRPr="0043024A" w:rsidRDefault="00EF6B10" w:rsidP="0043024A">
      <w:pPr>
        <w:widowControl w:val="0"/>
        <w:numPr>
          <w:ilvl w:val="3"/>
          <w:numId w:val="3"/>
        </w:numPr>
        <w:spacing w:before="120" w:after="120"/>
        <w:ind w:left="720" w:hanging="720"/>
        <w:rPr>
          <w:sz w:val="22"/>
          <w:szCs w:val="22"/>
          <w:u w:val="single"/>
        </w:rPr>
      </w:pPr>
      <w:r w:rsidRPr="00EF6B10">
        <w:rPr>
          <w:i/>
          <w:sz w:val="22"/>
          <w:szCs w:val="22"/>
        </w:rPr>
        <w:t>Secondary PM</w:t>
      </w:r>
      <w:r w:rsidRPr="00EF6B10">
        <w:rPr>
          <w:i/>
          <w:sz w:val="22"/>
          <w:szCs w:val="22"/>
          <w:vertAlign w:val="subscript"/>
        </w:rPr>
        <w:t>2.5</w:t>
      </w:r>
    </w:p>
    <w:p w:rsidR="00EF6B10" w:rsidRPr="00EF6B10" w:rsidRDefault="00EF6B10" w:rsidP="00EF6B10">
      <w:pPr>
        <w:widowControl w:val="0"/>
        <w:spacing w:after="120"/>
        <w:rPr>
          <w:sz w:val="22"/>
          <w:szCs w:val="22"/>
        </w:rPr>
      </w:pPr>
      <w:r w:rsidRPr="00EF6B10">
        <w:rPr>
          <w:sz w:val="22"/>
          <w:szCs w:val="22"/>
        </w:rPr>
        <w:t>Secondary PM</w:t>
      </w:r>
      <w:r w:rsidRPr="00EF6B10">
        <w:rPr>
          <w:sz w:val="22"/>
          <w:szCs w:val="22"/>
          <w:vertAlign w:val="subscript"/>
        </w:rPr>
        <w:t>2.5</w:t>
      </w:r>
      <w:r w:rsidRPr="00EF6B10">
        <w:rPr>
          <w:sz w:val="22"/>
          <w:szCs w:val="22"/>
        </w:rPr>
        <w:t xml:space="preserve"> is formed in the atmosphere by chemical reactions mainly involving the precursor pollutants NO</w:t>
      </w:r>
      <w:r w:rsidRPr="00EF6B10">
        <w:rPr>
          <w:sz w:val="22"/>
          <w:szCs w:val="22"/>
          <w:vertAlign w:val="subscript"/>
        </w:rPr>
        <w:t>X</w:t>
      </w:r>
      <w:r w:rsidRPr="00EF6B10">
        <w:rPr>
          <w:sz w:val="22"/>
          <w:szCs w:val="22"/>
        </w:rPr>
        <w:t xml:space="preserve"> and SO</w:t>
      </w:r>
      <w:r w:rsidRPr="00EF6B10">
        <w:rPr>
          <w:sz w:val="22"/>
          <w:szCs w:val="22"/>
          <w:vertAlign w:val="subscript"/>
        </w:rPr>
        <w:t>2</w:t>
      </w:r>
      <w:r w:rsidRPr="00EF6B10">
        <w:rPr>
          <w:sz w:val="22"/>
          <w:szCs w:val="22"/>
        </w:rPr>
        <w:t xml:space="preserve">. </w:t>
      </w:r>
      <w:r w:rsidR="00A55C44">
        <w:rPr>
          <w:sz w:val="22"/>
          <w:szCs w:val="22"/>
        </w:rPr>
        <w:t xml:space="preserve"> </w:t>
      </w:r>
      <w:r w:rsidRPr="00EF6B10">
        <w:rPr>
          <w:sz w:val="22"/>
          <w:szCs w:val="22"/>
        </w:rPr>
        <w:t>Appendix W to 40 CFR Part 51 recommends a two-tiered demonstration approach for addressing single-source impacts on the formation of secondary PM</w:t>
      </w:r>
      <w:r w:rsidRPr="00EF6B10">
        <w:rPr>
          <w:sz w:val="22"/>
          <w:szCs w:val="22"/>
          <w:vertAlign w:val="subscript"/>
        </w:rPr>
        <w:t>2.5</w:t>
      </w:r>
      <w:r w:rsidRPr="00EF6B10">
        <w:rPr>
          <w:sz w:val="22"/>
          <w:szCs w:val="22"/>
        </w:rPr>
        <w:t xml:space="preserve">. </w:t>
      </w:r>
      <w:r w:rsidR="00A55C44">
        <w:rPr>
          <w:sz w:val="22"/>
          <w:szCs w:val="22"/>
        </w:rPr>
        <w:t xml:space="preserve"> </w:t>
      </w:r>
      <w:r w:rsidRPr="00EF6B10">
        <w:rPr>
          <w:sz w:val="22"/>
          <w:szCs w:val="22"/>
        </w:rPr>
        <w:t>The first tier involves use of relationships between precursor emissions and ambient concentrations of ozone and PM</w:t>
      </w:r>
      <w:r w:rsidRPr="00EF6B10">
        <w:rPr>
          <w:sz w:val="22"/>
          <w:szCs w:val="22"/>
          <w:vertAlign w:val="subscript"/>
        </w:rPr>
        <w:t xml:space="preserve">2.5 </w:t>
      </w:r>
      <w:r w:rsidRPr="00EF6B10">
        <w:rPr>
          <w:sz w:val="22"/>
          <w:szCs w:val="22"/>
        </w:rPr>
        <w:t xml:space="preserve">that have been developed from modeling to evaluate a source’s impacts. </w:t>
      </w:r>
      <w:r w:rsidR="00A55C44">
        <w:rPr>
          <w:sz w:val="22"/>
          <w:szCs w:val="22"/>
        </w:rPr>
        <w:t xml:space="preserve"> </w:t>
      </w:r>
      <w:r w:rsidRPr="00EF6B10">
        <w:rPr>
          <w:sz w:val="22"/>
          <w:szCs w:val="22"/>
        </w:rPr>
        <w:t>The second tier involves application of a photochemical grid model to evaluate secondary impacts.</w:t>
      </w:r>
    </w:p>
    <w:p w:rsidR="00EF6B10" w:rsidRPr="00EF6B10" w:rsidRDefault="00EF6B10" w:rsidP="00EF6B10">
      <w:pPr>
        <w:widowControl w:val="0"/>
        <w:spacing w:after="120"/>
        <w:rPr>
          <w:sz w:val="22"/>
          <w:szCs w:val="22"/>
        </w:rPr>
      </w:pPr>
      <w:r w:rsidRPr="00EF6B10">
        <w:rPr>
          <w:sz w:val="22"/>
          <w:szCs w:val="22"/>
        </w:rPr>
        <w:t>A Modeled Emission Rate for Precursors (MERP) is the level of emissions (tons per year) of a precursor that would result in the formation of a secondary pollutant at a concentration equal to its significant impact level (SIL), the SIL being the level at which a concentration is considered to be a statistically significant change.  MERPs are a tier 1 screening method that can be used to estimate a project’s secondary PM</w:t>
      </w:r>
      <w:r w:rsidRPr="00EF6B10">
        <w:rPr>
          <w:sz w:val="22"/>
          <w:szCs w:val="22"/>
          <w:vertAlign w:val="subscript"/>
        </w:rPr>
        <w:t>2.5</w:t>
      </w:r>
      <w:r w:rsidRPr="00EF6B10">
        <w:rPr>
          <w:sz w:val="22"/>
          <w:szCs w:val="22"/>
        </w:rPr>
        <w:t xml:space="preserve"> impacts. </w:t>
      </w:r>
      <w:r w:rsidR="00A55C44">
        <w:rPr>
          <w:sz w:val="22"/>
          <w:szCs w:val="22"/>
        </w:rPr>
        <w:t xml:space="preserve"> </w:t>
      </w:r>
      <w:r w:rsidR="004D05F9">
        <w:rPr>
          <w:sz w:val="22"/>
          <w:szCs w:val="22"/>
        </w:rPr>
        <w:t>Although t</w:t>
      </w:r>
      <w:r w:rsidRPr="00EF6B10">
        <w:rPr>
          <w:sz w:val="22"/>
          <w:szCs w:val="22"/>
        </w:rPr>
        <w:t>he applicant used the most conservative MERP values for the Eastern US from EPA</w:t>
      </w:r>
      <w:r w:rsidR="004D05F9">
        <w:rPr>
          <w:sz w:val="22"/>
          <w:szCs w:val="22"/>
        </w:rPr>
        <w:t>’s original MERP</w:t>
      </w:r>
      <w:r w:rsidRPr="00EF6B10">
        <w:rPr>
          <w:sz w:val="22"/>
          <w:szCs w:val="22"/>
        </w:rPr>
        <w:t xml:space="preserve"> guidance</w:t>
      </w:r>
      <w:r w:rsidRPr="00EF6B10">
        <w:rPr>
          <w:sz w:val="22"/>
          <w:szCs w:val="22"/>
          <w:vertAlign w:val="superscript"/>
        </w:rPr>
        <w:footnoteReference w:id="15"/>
      </w:r>
      <w:r w:rsidR="004D05F9">
        <w:rPr>
          <w:sz w:val="22"/>
          <w:szCs w:val="22"/>
        </w:rPr>
        <w:t xml:space="preserve">, </w:t>
      </w:r>
      <w:r w:rsidR="004D05F9" w:rsidRPr="004D05F9">
        <w:rPr>
          <w:sz w:val="22"/>
          <w:szCs w:val="22"/>
        </w:rPr>
        <w:t>the Department completed the analysis using updated MERP values provided by EPA in an errata memorandum</w:t>
      </w:r>
      <w:r w:rsidR="00A3539B">
        <w:rPr>
          <w:rStyle w:val="FootnoteReference"/>
          <w:sz w:val="22"/>
          <w:szCs w:val="22"/>
        </w:rPr>
        <w:footnoteReference w:id="16"/>
      </w:r>
      <w:r w:rsidRPr="00EF6B10">
        <w:rPr>
          <w:sz w:val="22"/>
          <w:szCs w:val="22"/>
        </w:rPr>
        <w:t xml:space="preserve"> to estimate the project’s secondary PM</w:t>
      </w:r>
      <w:r w:rsidRPr="00EF6B10">
        <w:rPr>
          <w:sz w:val="22"/>
          <w:szCs w:val="22"/>
          <w:vertAlign w:val="subscript"/>
        </w:rPr>
        <w:t>2.5</w:t>
      </w:r>
      <w:r w:rsidRPr="00EF6B10">
        <w:rPr>
          <w:sz w:val="22"/>
          <w:szCs w:val="22"/>
        </w:rPr>
        <w:t xml:space="preserve"> impacts (</w:t>
      </w:r>
      <w:r w:rsidR="0043024A" w:rsidRPr="0043024A">
        <w:rPr>
          <w:sz w:val="22"/>
          <w:szCs w:val="22"/>
        </w:rPr>
        <w:t>see</w:t>
      </w:r>
      <w:r w:rsidR="0043024A">
        <w:rPr>
          <w:b/>
          <w:sz w:val="22"/>
          <w:szCs w:val="22"/>
        </w:rPr>
        <w:t xml:space="preserve"> </w:t>
      </w:r>
      <w:r w:rsidR="0043024A" w:rsidRPr="0043024A">
        <w:rPr>
          <w:rFonts w:ascii="Times New Roman Bold" w:hAnsi="Times New Roman Bold"/>
          <w:b/>
          <w:sz w:val="22"/>
          <w:szCs w:val="22"/>
        </w:rPr>
        <w:fldChar w:fldCharType="begin"/>
      </w:r>
      <w:r w:rsidR="0043024A" w:rsidRPr="0043024A">
        <w:rPr>
          <w:rFonts w:ascii="Times New Roman Bold" w:hAnsi="Times New Roman Bold"/>
          <w:b/>
          <w:sz w:val="22"/>
          <w:szCs w:val="22"/>
        </w:rPr>
        <w:instrText xml:space="preserve"> REF _Ref513626411 \h </w:instrText>
      </w:r>
      <w:r w:rsidR="0043024A">
        <w:rPr>
          <w:rFonts w:ascii="Times New Roman Bold" w:hAnsi="Times New Roman Bold"/>
          <w:b/>
          <w:sz w:val="22"/>
          <w:szCs w:val="22"/>
        </w:rPr>
        <w:instrText xml:space="preserve"> \* MERGEFORMAT </w:instrText>
      </w:r>
      <w:r w:rsidR="0043024A" w:rsidRPr="0043024A">
        <w:rPr>
          <w:rFonts w:ascii="Times New Roman Bold" w:hAnsi="Times New Roman Bold"/>
          <w:b/>
          <w:sz w:val="22"/>
          <w:szCs w:val="22"/>
        </w:rPr>
      </w:r>
      <w:r w:rsidR="0043024A" w:rsidRPr="0043024A">
        <w:rPr>
          <w:rFonts w:ascii="Times New Roman Bold" w:hAnsi="Times New Roman Bold"/>
          <w:b/>
          <w:sz w:val="22"/>
          <w:szCs w:val="22"/>
        </w:rPr>
        <w:fldChar w:fldCharType="separate"/>
      </w:r>
      <w:r w:rsidR="0043024A" w:rsidRPr="0043024A">
        <w:rPr>
          <w:rFonts w:ascii="Times New Roman Bold" w:hAnsi="Times New Roman Bold"/>
          <w:b/>
          <w:sz w:val="22"/>
        </w:rPr>
        <w:t xml:space="preserve">Table </w:t>
      </w:r>
      <w:r w:rsidR="0043024A" w:rsidRPr="0043024A">
        <w:rPr>
          <w:rFonts w:ascii="Times New Roman Bold" w:hAnsi="Times New Roman Bold"/>
          <w:b/>
          <w:noProof/>
          <w:sz w:val="22"/>
        </w:rPr>
        <w:t>22</w:t>
      </w:r>
      <w:r w:rsidR="0043024A" w:rsidRPr="0043024A">
        <w:rPr>
          <w:rFonts w:ascii="Times New Roman Bold" w:hAnsi="Times New Roman Bold"/>
          <w:b/>
          <w:sz w:val="22"/>
          <w:szCs w:val="22"/>
        </w:rPr>
        <w:fldChar w:fldCharType="end"/>
      </w:r>
      <w:r w:rsidRPr="00EF6B10">
        <w:rPr>
          <w:sz w:val="22"/>
          <w:szCs w:val="22"/>
        </w:rPr>
        <w:t>).</w:t>
      </w:r>
    </w:p>
    <w:p w:rsidR="004D05F9" w:rsidRDefault="0043024A" w:rsidP="0043024A">
      <w:pPr>
        <w:pStyle w:val="Caption"/>
        <w:spacing w:before="0"/>
        <w:jc w:val="center"/>
      </w:pPr>
      <w:bookmarkStart w:id="84" w:name="_Ref513626411"/>
      <w:bookmarkStart w:id="85" w:name="_Hlk510429732"/>
      <w:r>
        <w:t xml:space="preserve">Table </w:t>
      </w:r>
      <w:fldSimple w:instr=" SEQ Table \* ARABIC ">
        <w:r w:rsidR="007204D0">
          <w:rPr>
            <w:noProof/>
          </w:rPr>
          <w:t>22</w:t>
        </w:r>
      </w:fldSimple>
      <w:bookmarkEnd w:id="84"/>
      <w:r>
        <w:t xml:space="preserve"> - </w:t>
      </w:r>
      <w:r w:rsidR="004D05F9" w:rsidRPr="00EF6B10">
        <w:rPr>
          <w:szCs w:val="22"/>
        </w:rPr>
        <w:t xml:space="preserve">Modeled emission rates for precursors, and emissions and secondary </w:t>
      </w:r>
      <w:r w:rsidR="004D05F9" w:rsidRPr="00E20939">
        <w:rPr>
          <w:szCs w:val="22"/>
        </w:rPr>
        <w:t>pm</w:t>
      </w:r>
      <w:r w:rsidR="004D05F9" w:rsidRPr="00E20939">
        <w:rPr>
          <w:szCs w:val="22"/>
          <w:vertAlign w:val="subscript"/>
        </w:rPr>
        <w:t>2.5</w:t>
      </w:r>
      <w:r w:rsidR="004D05F9" w:rsidRPr="00FF7667">
        <w:rPr>
          <w:szCs w:val="22"/>
        </w:rPr>
        <w:t xml:space="preserve"> </w:t>
      </w:r>
      <w:r w:rsidR="004D05F9" w:rsidRPr="00EF6B10">
        <w:rPr>
          <w:szCs w:val="22"/>
        </w:rPr>
        <w:t>impacts for the project.</w:t>
      </w:r>
      <w:bookmarkEnd w:id="85"/>
    </w:p>
    <w:tbl>
      <w:tblPr>
        <w:tblW w:w="7415"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19"/>
        <w:gridCol w:w="927"/>
        <w:gridCol w:w="1015"/>
        <w:gridCol w:w="1113"/>
        <w:gridCol w:w="2041"/>
      </w:tblGrid>
      <w:tr w:rsidR="000359F2" w:rsidRPr="00832A67" w:rsidTr="003A197A">
        <w:trPr>
          <w:trHeight w:val="437"/>
          <w:jc w:val="center"/>
        </w:trPr>
        <w:tc>
          <w:tcPr>
            <w:tcW w:w="2319" w:type="dxa"/>
            <w:tcBorders>
              <w:top w:val="single" w:sz="12" w:space="0" w:color="auto"/>
              <w:left w:val="single" w:sz="12" w:space="0" w:color="auto"/>
              <w:bottom w:val="single" w:sz="12" w:space="0" w:color="auto"/>
              <w:right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MERPs and Emissions (</w:t>
            </w:r>
            <w:r w:rsidR="00B3239D">
              <w:rPr>
                <w:b/>
                <w:color w:val="000000"/>
              </w:rPr>
              <w:t>TPY</w:t>
            </w:r>
            <w:r w:rsidRPr="00C80ACC">
              <w:rPr>
                <w:b/>
                <w:color w:val="000000"/>
              </w:rPr>
              <w:t>)</w:t>
            </w:r>
          </w:p>
        </w:tc>
        <w:tc>
          <w:tcPr>
            <w:tcW w:w="927" w:type="dxa"/>
            <w:tcBorders>
              <w:top w:val="single" w:sz="12" w:space="0" w:color="auto"/>
              <w:left w:val="single" w:sz="12" w:space="0" w:color="auto"/>
              <w:bottom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NO</w:t>
            </w:r>
            <w:r w:rsidRPr="00C80ACC">
              <w:rPr>
                <w:b/>
                <w:color w:val="000000"/>
                <w:vertAlign w:val="subscript"/>
              </w:rPr>
              <w:t>X</w:t>
            </w:r>
          </w:p>
        </w:tc>
        <w:tc>
          <w:tcPr>
            <w:tcW w:w="1015" w:type="dxa"/>
            <w:tcBorders>
              <w:top w:val="single" w:sz="12" w:space="0" w:color="auto"/>
              <w:bottom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SO</w:t>
            </w:r>
            <w:r w:rsidRPr="00C80ACC">
              <w:rPr>
                <w:b/>
                <w:color w:val="000000"/>
                <w:vertAlign w:val="subscript"/>
              </w:rPr>
              <w:t>2</w:t>
            </w:r>
          </w:p>
        </w:tc>
        <w:tc>
          <w:tcPr>
            <w:tcW w:w="1113" w:type="dxa"/>
            <w:tcBorders>
              <w:top w:val="single" w:sz="12" w:space="0" w:color="auto"/>
              <w:bottom w:val="single" w:sz="12" w:space="0" w:color="auto"/>
            </w:tcBorders>
            <w:shd w:val="clear" w:color="auto" w:fill="B8CCE4"/>
          </w:tcPr>
          <w:p w:rsidR="000359F2" w:rsidRPr="00C80ACC" w:rsidRDefault="000359F2" w:rsidP="00CF08C0">
            <w:pPr>
              <w:keepNext/>
              <w:jc w:val="center"/>
              <w:rPr>
                <w:b/>
                <w:color w:val="000000"/>
              </w:rPr>
            </w:pPr>
            <w:r w:rsidRPr="00C80ACC">
              <w:rPr>
                <w:b/>
                <w:color w:val="000000"/>
              </w:rPr>
              <w:t>Class II SILs</w:t>
            </w:r>
          </w:p>
        </w:tc>
        <w:tc>
          <w:tcPr>
            <w:tcW w:w="2041" w:type="dxa"/>
            <w:tcBorders>
              <w:top w:val="single" w:sz="12" w:space="0" w:color="auto"/>
              <w:bottom w:val="single" w:sz="12" w:space="0" w:color="auto"/>
              <w:right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Project Secondary Impacts</w:t>
            </w:r>
          </w:p>
        </w:tc>
      </w:tr>
      <w:tr w:rsidR="000359F2" w:rsidRPr="00832A67" w:rsidTr="003A197A">
        <w:trPr>
          <w:trHeight w:val="437"/>
          <w:jc w:val="center"/>
        </w:trPr>
        <w:tc>
          <w:tcPr>
            <w:tcW w:w="2319" w:type="dxa"/>
            <w:tcBorders>
              <w:top w:val="single" w:sz="12" w:space="0" w:color="auto"/>
              <w:left w:val="single" w:sz="12" w:space="0" w:color="auto"/>
              <w:bottom w:val="nil"/>
              <w:right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24-hour PM</w:t>
            </w:r>
            <w:r w:rsidRPr="00C80ACC">
              <w:rPr>
                <w:b/>
                <w:color w:val="000000"/>
                <w:vertAlign w:val="subscript"/>
              </w:rPr>
              <w:t>2.5</w:t>
            </w:r>
            <w:r w:rsidRPr="00C80ACC">
              <w:rPr>
                <w:b/>
                <w:color w:val="000000"/>
              </w:rPr>
              <w:t xml:space="preserve"> MERPs</w:t>
            </w:r>
          </w:p>
        </w:tc>
        <w:tc>
          <w:tcPr>
            <w:tcW w:w="927" w:type="dxa"/>
            <w:tcBorders>
              <w:top w:val="single" w:sz="12" w:space="0" w:color="auto"/>
              <w:left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2,295</w:t>
            </w:r>
          </w:p>
        </w:tc>
        <w:tc>
          <w:tcPr>
            <w:tcW w:w="1015" w:type="dxa"/>
            <w:tcBorders>
              <w:top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628</w:t>
            </w:r>
          </w:p>
        </w:tc>
        <w:tc>
          <w:tcPr>
            <w:tcW w:w="1113" w:type="dxa"/>
            <w:tcBorders>
              <w:top w:val="single" w:sz="12" w:space="0" w:color="auto"/>
            </w:tcBorders>
            <w:shd w:val="clear" w:color="000000" w:fill="FFFFFF"/>
          </w:tcPr>
          <w:p w:rsidR="000359F2" w:rsidRPr="00C80ACC" w:rsidRDefault="000359F2" w:rsidP="00CF08C0">
            <w:pPr>
              <w:keepNext/>
              <w:jc w:val="center"/>
              <w:rPr>
                <w:color w:val="000000"/>
              </w:rPr>
            </w:pPr>
            <w:r w:rsidRPr="00C80ACC">
              <w:rPr>
                <w:color w:val="000000"/>
              </w:rPr>
              <w:t>1.2 µg/m</w:t>
            </w:r>
            <w:r w:rsidRPr="00C80ACC">
              <w:rPr>
                <w:color w:val="000000"/>
                <w:vertAlign w:val="superscript"/>
              </w:rPr>
              <w:t>3</w:t>
            </w:r>
          </w:p>
        </w:tc>
        <w:tc>
          <w:tcPr>
            <w:tcW w:w="2041" w:type="dxa"/>
            <w:tcBorders>
              <w:top w:val="single" w:sz="12" w:space="0" w:color="auto"/>
              <w:right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0.240</w:t>
            </w:r>
          </w:p>
        </w:tc>
      </w:tr>
      <w:tr w:rsidR="000359F2" w:rsidRPr="00832A67" w:rsidTr="003A197A">
        <w:trPr>
          <w:trHeight w:val="437"/>
          <w:jc w:val="center"/>
        </w:trPr>
        <w:tc>
          <w:tcPr>
            <w:tcW w:w="2319" w:type="dxa"/>
            <w:tcBorders>
              <w:top w:val="nil"/>
              <w:left w:val="single" w:sz="12" w:space="0" w:color="auto"/>
              <w:bottom w:val="nil"/>
              <w:right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Annual PM</w:t>
            </w:r>
            <w:r w:rsidRPr="00C80ACC">
              <w:rPr>
                <w:b/>
                <w:color w:val="000000"/>
                <w:vertAlign w:val="subscript"/>
              </w:rPr>
              <w:t>2.5</w:t>
            </w:r>
            <w:r w:rsidRPr="00C80ACC">
              <w:rPr>
                <w:b/>
                <w:color w:val="000000"/>
              </w:rPr>
              <w:t xml:space="preserve"> MERPs</w:t>
            </w:r>
          </w:p>
        </w:tc>
        <w:tc>
          <w:tcPr>
            <w:tcW w:w="927" w:type="dxa"/>
            <w:tcBorders>
              <w:left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10,144</w:t>
            </w:r>
          </w:p>
        </w:tc>
        <w:tc>
          <w:tcPr>
            <w:tcW w:w="1015" w:type="dxa"/>
            <w:shd w:val="clear" w:color="000000" w:fill="FFFFFF"/>
            <w:noWrap/>
            <w:vAlign w:val="center"/>
            <w:hideMark/>
          </w:tcPr>
          <w:p w:rsidR="000359F2" w:rsidRPr="00C80ACC" w:rsidRDefault="000359F2" w:rsidP="00CF08C0">
            <w:pPr>
              <w:keepNext/>
              <w:jc w:val="center"/>
              <w:rPr>
                <w:color w:val="000000"/>
              </w:rPr>
            </w:pPr>
            <w:r w:rsidRPr="00C80ACC">
              <w:rPr>
                <w:color w:val="000000"/>
              </w:rPr>
              <w:t>4,013</w:t>
            </w:r>
          </w:p>
        </w:tc>
        <w:tc>
          <w:tcPr>
            <w:tcW w:w="1113" w:type="dxa"/>
            <w:shd w:val="clear" w:color="000000" w:fill="FFFFFF"/>
          </w:tcPr>
          <w:p w:rsidR="000359F2" w:rsidRPr="00C80ACC" w:rsidRDefault="000359F2" w:rsidP="00CF08C0">
            <w:pPr>
              <w:keepNext/>
              <w:jc w:val="center"/>
              <w:rPr>
                <w:color w:val="000000"/>
              </w:rPr>
            </w:pPr>
            <w:r w:rsidRPr="00C80ACC">
              <w:rPr>
                <w:color w:val="000000"/>
              </w:rPr>
              <w:t>0.2 µg/m</w:t>
            </w:r>
            <w:r w:rsidRPr="00C80ACC">
              <w:rPr>
                <w:color w:val="000000"/>
                <w:vertAlign w:val="superscript"/>
              </w:rPr>
              <w:t>3</w:t>
            </w:r>
          </w:p>
        </w:tc>
        <w:tc>
          <w:tcPr>
            <w:tcW w:w="2041" w:type="dxa"/>
            <w:tcBorders>
              <w:right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0.007</w:t>
            </w:r>
          </w:p>
        </w:tc>
      </w:tr>
      <w:tr w:rsidR="000359F2" w:rsidRPr="00832A67" w:rsidTr="003A197A">
        <w:trPr>
          <w:trHeight w:val="437"/>
          <w:jc w:val="center"/>
        </w:trPr>
        <w:tc>
          <w:tcPr>
            <w:tcW w:w="2319" w:type="dxa"/>
            <w:tcBorders>
              <w:top w:val="nil"/>
              <w:left w:val="single" w:sz="12" w:space="0" w:color="auto"/>
              <w:bottom w:val="single" w:sz="12" w:space="0" w:color="auto"/>
              <w:right w:val="single" w:sz="12" w:space="0" w:color="auto"/>
            </w:tcBorders>
            <w:shd w:val="clear" w:color="auto" w:fill="B8CCE4"/>
            <w:noWrap/>
            <w:vAlign w:val="center"/>
            <w:hideMark/>
          </w:tcPr>
          <w:p w:rsidR="000359F2" w:rsidRPr="00C80ACC" w:rsidRDefault="000359F2" w:rsidP="00CF08C0">
            <w:pPr>
              <w:keepNext/>
              <w:jc w:val="center"/>
              <w:rPr>
                <w:b/>
                <w:color w:val="000000"/>
              </w:rPr>
            </w:pPr>
            <w:r w:rsidRPr="00C80ACC">
              <w:rPr>
                <w:b/>
                <w:color w:val="000000"/>
              </w:rPr>
              <w:t>Project Emissions</w:t>
            </w:r>
          </w:p>
        </w:tc>
        <w:tc>
          <w:tcPr>
            <w:tcW w:w="927" w:type="dxa"/>
            <w:tcBorders>
              <w:left w:val="single" w:sz="12" w:space="0" w:color="auto"/>
              <w:bottom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126.2</w:t>
            </w:r>
          </w:p>
        </w:tc>
        <w:tc>
          <w:tcPr>
            <w:tcW w:w="1015" w:type="dxa"/>
            <w:tcBorders>
              <w:bottom w:val="single" w:sz="12" w:space="0" w:color="auto"/>
            </w:tcBorders>
            <w:shd w:val="clear" w:color="000000" w:fill="FFFFFF"/>
            <w:noWrap/>
            <w:vAlign w:val="center"/>
            <w:hideMark/>
          </w:tcPr>
          <w:p w:rsidR="000359F2" w:rsidRPr="00C80ACC" w:rsidRDefault="000359F2" w:rsidP="00CF08C0">
            <w:pPr>
              <w:keepNext/>
              <w:jc w:val="center"/>
              <w:rPr>
                <w:color w:val="000000"/>
              </w:rPr>
            </w:pPr>
            <w:r w:rsidRPr="00C80ACC">
              <w:rPr>
                <w:color w:val="000000"/>
              </w:rPr>
              <w:t>90.9</w:t>
            </w:r>
          </w:p>
        </w:tc>
        <w:tc>
          <w:tcPr>
            <w:tcW w:w="1113" w:type="dxa"/>
            <w:tcBorders>
              <w:bottom w:val="single" w:sz="12" w:space="0" w:color="auto"/>
            </w:tcBorders>
            <w:shd w:val="clear" w:color="000000" w:fill="FFFFFF"/>
          </w:tcPr>
          <w:p w:rsidR="000359F2" w:rsidRPr="00C80ACC" w:rsidRDefault="000359F2" w:rsidP="00CF08C0">
            <w:pPr>
              <w:keepNext/>
              <w:jc w:val="center"/>
              <w:rPr>
                <w:color w:val="000000"/>
              </w:rPr>
            </w:pPr>
            <w:r>
              <w:rPr>
                <w:color w:val="000000"/>
              </w:rPr>
              <w:t>-</w:t>
            </w:r>
          </w:p>
        </w:tc>
        <w:tc>
          <w:tcPr>
            <w:tcW w:w="2041" w:type="dxa"/>
            <w:tcBorders>
              <w:bottom w:val="single" w:sz="12" w:space="0" w:color="auto"/>
              <w:right w:val="single" w:sz="12" w:space="0" w:color="auto"/>
            </w:tcBorders>
            <w:shd w:val="clear" w:color="000000" w:fill="FFFFFF"/>
            <w:noWrap/>
            <w:vAlign w:val="bottom"/>
            <w:hideMark/>
          </w:tcPr>
          <w:p w:rsidR="000359F2" w:rsidRPr="00C80ACC" w:rsidRDefault="000359F2" w:rsidP="00CF08C0">
            <w:pPr>
              <w:keepNext/>
              <w:jc w:val="center"/>
              <w:rPr>
                <w:color w:val="000000"/>
              </w:rPr>
            </w:pPr>
            <w:r>
              <w:rPr>
                <w:color w:val="000000"/>
              </w:rPr>
              <w:t>-</w:t>
            </w:r>
          </w:p>
        </w:tc>
      </w:tr>
    </w:tbl>
    <w:p w:rsidR="00EF6B10" w:rsidRPr="00EF6B10" w:rsidRDefault="00EF6B10" w:rsidP="000359F2">
      <w:pPr>
        <w:widowControl w:val="0"/>
        <w:spacing w:before="120" w:after="120"/>
        <w:rPr>
          <w:sz w:val="22"/>
          <w:szCs w:val="22"/>
        </w:rPr>
      </w:pPr>
      <w:r w:rsidRPr="00EF6B10">
        <w:rPr>
          <w:sz w:val="22"/>
          <w:szCs w:val="22"/>
        </w:rPr>
        <w:t>These secondary PM</w:t>
      </w:r>
      <w:r w:rsidRPr="00EF6B10">
        <w:rPr>
          <w:sz w:val="22"/>
          <w:szCs w:val="22"/>
          <w:vertAlign w:val="subscript"/>
        </w:rPr>
        <w:t>2.5</w:t>
      </w:r>
      <w:r w:rsidRPr="00EF6B10">
        <w:rPr>
          <w:sz w:val="22"/>
          <w:szCs w:val="22"/>
        </w:rPr>
        <w:t xml:space="preserve"> impacts were added to the primary PM</w:t>
      </w:r>
      <w:r w:rsidRPr="00EF6B10">
        <w:rPr>
          <w:sz w:val="22"/>
          <w:szCs w:val="22"/>
          <w:vertAlign w:val="subscript"/>
        </w:rPr>
        <w:t>2.5</w:t>
      </w:r>
      <w:r w:rsidRPr="00EF6B10">
        <w:rPr>
          <w:sz w:val="22"/>
          <w:szCs w:val="22"/>
        </w:rPr>
        <w:t xml:space="preserve"> impacts before comparison to the SIL.</w:t>
      </w:r>
    </w:p>
    <w:p w:rsidR="00EF6B10" w:rsidRPr="009A539A" w:rsidRDefault="00EF6B10" w:rsidP="009A539A">
      <w:pPr>
        <w:widowControl w:val="0"/>
        <w:numPr>
          <w:ilvl w:val="3"/>
          <w:numId w:val="3"/>
        </w:numPr>
        <w:spacing w:before="120" w:after="120"/>
        <w:ind w:left="720" w:hanging="720"/>
        <w:rPr>
          <w:sz w:val="22"/>
          <w:szCs w:val="22"/>
          <w:u w:val="single"/>
        </w:rPr>
      </w:pPr>
      <w:r w:rsidRPr="00EF6B10">
        <w:rPr>
          <w:i/>
          <w:sz w:val="22"/>
          <w:szCs w:val="22"/>
        </w:rPr>
        <w:t>Results</w:t>
      </w:r>
    </w:p>
    <w:p w:rsidR="00EF6B10" w:rsidRPr="00EF6B10" w:rsidRDefault="00EF6B10" w:rsidP="00EF6B10">
      <w:pPr>
        <w:widowControl w:val="0"/>
        <w:spacing w:after="120"/>
        <w:rPr>
          <w:sz w:val="22"/>
          <w:szCs w:val="22"/>
        </w:rPr>
      </w:pPr>
      <w:r w:rsidRPr="00EF6B10">
        <w:rPr>
          <w:sz w:val="22"/>
          <w:szCs w:val="22"/>
        </w:rPr>
        <w:t xml:space="preserve">The results of the SIL modeling summarized in </w:t>
      </w:r>
      <w:r w:rsidR="009A539A" w:rsidRPr="009A539A">
        <w:rPr>
          <w:rFonts w:ascii="Times New Roman Bold" w:hAnsi="Times New Roman Bold"/>
          <w:b/>
          <w:sz w:val="22"/>
          <w:szCs w:val="22"/>
        </w:rPr>
        <w:fldChar w:fldCharType="begin"/>
      </w:r>
      <w:r w:rsidR="009A539A" w:rsidRPr="009A539A">
        <w:rPr>
          <w:rFonts w:ascii="Times New Roman Bold" w:hAnsi="Times New Roman Bold"/>
          <w:b/>
          <w:sz w:val="22"/>
          <w:szCs w:val="22"/>
        </w:rPr>
        <w:instrText xml:space="preserve"> REF _Ref513626543 \h </w:instrText>
      </w:r>
      <w:r w:rsidR="009A539A">
        <w:rPr>
          <w:rFonts w:ascii="Times New Roman Bold" w:hAnsi="Times New Roman Bold"/>
          <w:b/>
          <w:sz w:val="22"/>
          <w:szCs w:val="22"/>
        </w:rPr>
        <w:instrText xml:space="preserve"> \* MERGEFORMAT </w:instrText>
      </w:r>
      <w:r w:rsidR="009A539A" w:rsidRPr="009A539A">
        <w:rPr>
          <w:rFonts w:ascii="Times New Roman Bold" w:hAnsi="Times New Roman Bold"/>
          <w:b/>
          <w:sz w:val="22"/>
          <w:szCs w:val="22"/>
        </w:rPr>
      </w:r>
      <w:r w:rsidR="009A539A" w:rsidRPr="009A539A">
        <w:rPr>
          <w:rFonts w:ascii="Times New Roman Bold" w:hAnsi="Times New Roman Bold"/>
          <w:b/>
          <w:sz w:val="22"/>
          <w:szCs w:val="22"/>
        </w:rPr>
        <w:fldChar w:fldCharType="separate"/>
      </w:r>
      <w:r w:rsidR="009A539A" w:rsidRPr="009A539A">
        <w:rPr>
          <w:rFonts w:ascii="Times New Roman Bold" w:hAnsi="Times New Roman Bold"/>
          <w:b/>
          <w:sz w:val="22"/>
        </w:rPr>
        <w:t xml:space="preserve">Table </w:t>
      </w:r>
      <w:r w:rsidR="009A539A" w:rsidRPr="009A539A">
        <w:rPr>
          <w:rFonts w:ascii="Times New Roman Bold" w:hAnsi="Times New Roman Bold"/>
          <w:b/>
          <w:noProof/>
          <w:sz w:val="22"/>
        </w:rPr>
        <w:t>23</w:t>
      </w:r>
      <w:r w:rsidR="009A539A" w:rsidRPr="009A539A">
        <w:rPr>
          <w:rFonts w:ascii="Times New Roman Bold" w:hAnsi="Times New Roman Bold"/>
          <w:b/>
          <w:sz w:val="22"/>
          <w:szCs w:val="22"/>
        </w:rPr>
        <w:fldChar w:fldCharType="end"/>
      </w:r>
      <w:r w:rsidR="009A539A">
        <w:rPr>
          <w:sz w:val="22"/>
          <w:szCs w:val="22"/>
        </w:rPr>
        <w:t xml:space="preserve"> </w:t>
      </w:r>
      <w:r w:rsidRPr="00EF6B10">
        <w:rPr>
          <w:sz w:val="22"/>
          <w:szCs w:val="22"/>
        </w:rPr>
        <w:t>indicate that refined cumulative source modeling is not required for any pollutants.</w:t>
      </w:r>
    </w:p>
    <w:p w:rsidR="00EF6B10" w:rsidRPr="009A539A" w:rsidRDefault="009A539A" w:rsidP="009A539A">
      <w:pPr>
        <w:pStyle w:val="Caption"/>
        <w:spacing w:before="0"/>
        <w:jc w:val="center"/>
        <w:rPr>
          <w:szCs w:val="22"/>
        </w:rPr>
      </w:pPr>
      <w:bookmarkStart w:id="86" w:name="_Ref513626543"/>
      <w:r w:rsidRPr="009A539A">
        <w:t xml:space="preserve">Table </w:t>
      </w:r>
      <w:fldSimple w:instr=" SEQ Table \* ARABIC ">
        <w:r w:rsidR="007204D0">
          <w:rPr>
            <w:noProof/>
          </w:rPr>
          <w:t>23</w:t>
        </w:r>
      </w:fldSimple>
      <w:bookmarkEnd w:id="86"/>
      <w:r w:rsidRPr="009A539A">
        <w:t xml:space="preserve"> - </w:t>
      </w:r>
      <w:r w:rsidR="00EF6B10" w:rsidRPr="009A539A">
        <w:rPr>
          <w:caps w:val="0"/>
          <w:szCs w:val="22"/>
        </w:rPr>
        <w:t>MAXIMUM PREDICTED AIR QUALITY IMPACTS FOR THE PROJECT, COMPARED TO THE CLASS II SILS</w:t>
      </w:r>
      <w:r w:rsidR="00EF6B10" w:rsidRPr="009A539A">
        <w:rPr>
          <w:szCs w:val="22"/>
        </w:rPr>
        <w:t>.</w:t>
      </w:r>
    </w:p>
    <w:tbl>
      <w:tblPr>
        <w:tblW w:w="4954" w:type="pct"/>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00"/>
        <w:gridCol w:w="1194"/>
        <w:gridCol w:w="1561"/>
        <w:gridCol w:w="1619"/>
        <w:gridCol w:w="1080"/>
        <w:gridCol w:w="1351"/>
        <w:gridCol w:w="1910"/>
      </w:tblGrid>
      <w:tr w:rsidR="003237BB" w:rsidRPr="004A2248" w:rsidTr="00FB5A93">
        <w:trPr>
          <w:trHeight w:val="402"/>
          <w:jc w:val="center"/>
        </w:trPr>
        <w:tc>
          <w:tcPr>
            <w:tcW w:w="560" w:type="pct"/>
            <w:tcBorders>
              <w:top w:val="single" w:sz="12" w:space="0" w:color="auto"/>
              <w:left w:val="single" w:sz="12" w:space="0" w:color="auto"/>
              <w:bottom w:val="single" w:sz="12"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Pollutant</w:t>
            </w:r>
          </w:p>
        </w:tc>
        <w:tc>
          <w:tcPr>
            <w:tcW w:w="608" w:type="pct"/>
            <w:tcBorders>
              <w:top w:val="single" w:sz="12" w:space="0" w:color="auto"/>
              <w:left w:val="single" w:sz="12" w:space="0" w:color="auto"/>
              <w:bottom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sidRPr="00FF09C8">
              <w:rPr>
                <w:b/>
              </w:rPr>
              <w:t>Averaging Time</w:t>
            </w:r>
          </w:p>
        </w:tc>
        <w:tc>
          <w:tcPr>
            <w:tcW w:w="795" w:type="pct"/>
            <w:tcBorders>
              <w:top w:val="single" w:sz="12" w:space="0" w:color="auto"/>
              <w:bottom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sidRPr="00FF09C8">
              <w:rPr>
                <w:b/>
              </w:rPr>
              <w:t>Max Impact (μg/m</w:t>
            </w:r>
            <w:r w:rsidRPr="00FF09C8">
              <w:rPr>
                <w:b/>
                <w:vertAlign w:val="superscript"/>
              </w:rPr>
              <w:t>3</w:t>
            </w:r>
            <w:r w:rsidRPr="00FF09C8">
              <w:rPr>
                <w:b/>
              </w:rPr>
              <w:t>)</w:t>
            </w:r>
          </w:p>
        </w:tc>
        <w:tc>
          <w:tcPr>
            <w:tcW w:w="825" w:type="pct"/>
            <w:tcBorders>
              <w:top w:val="single" w:sz="12" w:space="0" w:color="auto"/>
              <w:bottom w:val="single" w:sz="12" w:space="0" w:color="auto"/>
            </w:tcBorders>
            <w:shd w:val="clear" w:color="auto" w:fill="B8CCE4"/>
            <w:vAlign w:val="center"/>
          </w:tcPr>
          <w:p w:rsidR="000359F2" w:rsidRPr="00FF09C8" w:rsidRDefault="000359F2" w:rsidP="003A197A">
            <w:pPr>
              <w:keepNext/>
              <w:keepLines/>
              <w:autoSpaceDE w:val="0"/>
              <w:autoSpaceDN w:val="0"/>
              <w:adjustRightInd w:val="0"/>
              <w:jc w:val="center"/>
              <w:rPr>
                <w:b/>
              </w:rPr>
            </w:pPr>
            <w:r>
              <w:rPr>
                <w:b/>
              </w:rPr>
              <w:t>Secondary PM</w:t>
            </w:r>
            <w:r w:rsidRPr="00C80ACC">
              <w:rPr>
                <w:b/>
                <w:vertAlign w:val="subscript"/>
              </w:rPr>
              <w:t>2.5</w:t>
            </w:r>
            <w:r>
              <w:rPr>
                <w:b/>
              </w:rPr>
              <w:t xml:space="preserve"> (</w:t>
            </w:r>
            <w:r w:rsidRPr="00FF09C8">
              <w:rPr>
                <w:b/>
              </w:rPr>
              <w:t>μg/m</w:t>
            </w:r>
            <w:r w:rsidRPr="00FF09C8">
              <w:rPr>
                <w:b/>
                <w:vertAlign w:val="superscript"/>
              </w:rPr>
              <w:t>3</w:t>
            </w:r>
            <w:r>
              <w:rPr>
                <w:b/>
              </w:rPr>
              <w:t>)</w:t>
            </w:r>
          </w:p>
        </w:tc>
        <w:tc>
          <w:tcPr>
            <w:tcW w:w="550" w:type="pct"/>
            <w:tcBorders>
              <w:top w:val="single" w:sz="12" w:space="0" w:color="auto"/>
              <w:bottom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sidRPr="00FF09C8">
              <w:rPr>
                <w:b/>
              </w:rPr>
              <w:t>SIL (μg/m</w:t>
            </w:r>
            <w:r w:rsidRPr="00FF09C8">
              <w:rPr>
                <w:b/>
                <w:vertAlign w:val="superscript"/>
              </w:rPr>
              <w:t>3</w:t>
            </w:r>
            <w:r w:rsidRPr="00FF09C8">
              <w:rPr>
                <w:b/>
              </w:rPr>
              <w:t>)</w:t>
            </w:r>
          </w:p>
        </w:tc>
        <w:tc>
          <w:tcPr>
            <w:tcW w:w="688" w:type="pct"/>
            <w:tcBorders>
              <w:top w:val="single" w:sz="12" w:space="0" w:color="auto"/>
              <w:bottom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Percent of SIL</w:t>
            </w:r>
          </w:p>
        </w:tc>
        <w:tc>
          <w:tcPr>
            <w:tcW w:w="973" w:type="pct"/>
            <w:tcBorders>
              <w:top w:val="single" w:sz="12" w:space="0" w:color="auto"/>
              <w:bottom w:val="single" w:sz="12"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sidRPr="00FF09C8">
              <w:rPr>
                <w:b/>
              </w:rPr>
              <w:t>Significant Impact?</w:t>
            </w:r>
          </w:p>
        </w:tc>
      </w:tr>
      <w:tr w:rsidR="003237BB" w:rsidRPr="004A2248" w:rsidTr="003237BB">
        <w:trPr>
          <w:trHeight w:val="50"/>
          <w:jc w:val="center"/>
        </w:trPr>
        <w:tc>
          <w:tcPr>
            <w:tcW w:w="560" w:type="pct"/>
            <w:vMerge w:val="restart"/>
            <w:tcBorders>
              <w:top w:val="single" w:sz="12" w:space="0" w:color="auto"/>
              <w:left w:val="single" w:sz="12" w:space="0" w:color="auto"/>
              <w:bottom w:val="single" w:sz="4"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PM</w:t>
            </w:r>
            <w:r w:rsidRPr="00DC7B30">
              <w:rPr>
                <w:b/>
                <w:vertAlign w:val="subscript"/>
              </w:rPr>
              <w:t>2.5</w:t>
            </w:r>
          </w:p>
        </w:tc>
        <w:tc>
          <w:tcPr>
            <w:tcW w:w="608" w:type="pct"/>
            <w:vMerge w:val="restart"/>
            <w:tcBorders>
              <w:top w:val="single" w:sz="12" w:space="0" w:color="auto"/>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rsidRPr="00242FA9">
              <w:t>Annual</w:t>
            </w:r>
            <w:r w:rsidRPr="00242FA9">
              <w:br/>
              <w:t>24-Hour</w:t>
            </w:r>
          </w:p>
        </w:tc>
        <w:tc>
          <w:tcPr>
            <w:tcW w:w="795" w:type="pct"/>
            <w:tcBorders>
              <w:top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0.08</w:t>
            </w:r>
          </w:p>
        </w:tc>
        <w:tc>
          <w:tcPr>
            <w:tcW w:w="825" w:type="pct"/>
            <w:tcBorders>
              <w:top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0.007</w:t>
            </w:r>
          </w:p>
        </w:tc>
        <w:tc>
          <w:tcPr>
            <w:tcW w:w="550" w:type="pct"/>
            <w:tcBorders>
              <w:top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0.2</w:t>
            </w:r>
          </w:p>
        </w:tc>
        <w:tc>
          <w:tcPr>
            <w:tcW w:w="688" w:type="pct"/>
            <w:tcBorders>
              <w:top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44%</w:t>
            </w:r>
          </w:p>
        </w:tc>
        <w:tc>
          <w:tcPr>
            <w:tcW w:w="973" w:type="pct"/>
            <w:tcBorders>
              <w:top w:val="single" w:sz="12" w:space="0" w:color="auto"/>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single" w:sz="4" w:space="0" w:color="auto"/>
              <w:right w:val="single" w:sz="12" w:space="0" w:color="auto"/>
            </w:tcBorders>
            <w:shd w:val="clear" w:color="auto" w:fill="B8CCE4"/>
            <w:vAlign w:val="center"/>
          </w:tcPr>
          <w:p w:rsidR="000359F2" w:rsidRDefault="000359F2" w:rsidP="00CF08C0">
            <w:pPr>
              <w:keepNext/>
              <w:keepLines/>
              <w:autoSpaceDE w:val="0"/>
              <w:autoSpaceDN w:val="0"/>
              <w:adjustRightInd w:val="0"/>
              <w:jc w:val="center"/>
              <w:rPr>
                <w:b/>
              </w:rPr>
            </w:pPr>
          </w:p>
        </w:tc>
        <w:tc>
          <w:tcPr>
            <w:tcW w:w="608" w:type="pct"/>
            <w:vMerge/>
            <w:tcBorders>
              <w:top w:val="nil"/>
              <w:left w:val="single" w:sz="12" w:space="0" w:color="auto"/>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p>
        </w:tc>
        <w:tc>
          <w:tcPr>
            <w:tcW w:w="79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0.</w:t>
            </w:r>
            <w:r w:rsidR="00BD3722">
              <w:t>83</w:t>
            </w:r>
          </w:p>
        </w:tc>
        <w:tc>
          <w:tcPr>
            <w:tcW w:w="82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0.240</w:t>
            </w:r>
          </w:p>
        </w:tc>
        <w:tc>
          <w:tcPr>
            <w:tcW w:w="550"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1.2</w:t>
            </w:r>
          </w:p>
        </w:tc>
        <w:tc>
          <w:tcPr>
            <w:tcW w:w="688" w:type="pct"/>
            <w:tcBorders>
              <w:top w:val="nil"/>
              <w:bottom w:val="single" w:sz="4" w:space="0" w:color="auto"/>
            </w:tcBorders>
            <w:vAlign w:val="center"/>
          </w:tcPr>
          <w:p w:rsidR="000359F2" w:rsidRPr="00242FA9" w:rsidRDefault="00BD3722" w:rsidP="00CF08C0">
            <w:pPr>
              <w:keepNext/>
              <w:keepLines/>
              <w:autoSpaceDE w:val="0"/>
              <w:autoSpaceDN w:val="0"/>
              <w:adjustRightInd w:val="0"/>
              <w:spacing w:before="20" w:after="20"/>
              <w:jc w:val="center"/>
            </w:pPr>
            <w:r>
              <w:t>89</w:t>
            </w:r>
            <w:r w:rsidR="000359F2">
              <w:t>%</w:t>
            </w:r>
          </w:p>
        </w:tc>
        <w:tc>
          <w:tcPr>
            <w:tcW w:w="973" w:type="pct"/>
            <w:tcBorders>
              <w:top w:val="nil"/>
              <w:bottom w:val="single" w:sz="4" w:space="0" w:color="auto"/>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val="restart"/>
            <w:tcBorders>
              <w:top w:val="single" w:sz="4" w:space="0" w:color="auto"/>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PM</w:t>
            </w:r>
            <w:r w:rsidRPr="00DC7B30">
              <w:rPr>
                <w:b/>
                <w:vertAlign w:val="subscript"/>
              </w:rPr>
              <w:t>10</w:t>
            </w:r>
          </w:p>
        </w:tc>
        <w:tc>
          <w:tcPr>
            <w:tcW w:w="608" w:type="pct"/>
            <w:tcBorders>
              <w:top w:val="single" w:sz="4" w:space="0" w:color="auto"/>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rsidRPr="00242FA9">
              <w:t>Annual</w:t>
            </w:r>
          </w:p>
        </w:tc>
        <w:tc>
          <w:tcPr>
            <w:tcW w:w="79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w:t>
            </w:r>
            <w:r w:rsidR="00BD3722">
              <w:t>09</w:t>
            </w:r>
          </w:p>
        </w:tc>
        <w:tc>
          <w:tcPr>
            <w:tcW w:w="82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rsidRPr="00242FA9">
              <w:t>1</w:t>
            </w:r>
          </w:p>
        </w:tc>
        <w:tc>
          <w:tcPr>
            <w:tcW w:w="688" w:type="pct"/>
            <w:tcBorders>
              <w:top w:val="single" w:sz="4" w:space="0" w:color="auto"/>
              <w:bottom w:val="nil"/>
            </w:tcBorders>
            <w:vAlign w:val="center"/>
          </w:tcPr>
          <w:p w:rsidR="000359F2" w:rsidRPr="00242FA9" w:rsidRDefault="00BD3722" w:rsidP="00CF08C0">
            <w:pPr>
              <w:keepNext/>
              <w:keepLines/>
              <w:autoSpaceDE w:val="0"/>
              <w:autoSpaceDN w:val="0"/>
              <w:adjustRightInd w:val="0"/>
              <w:spacing w:before="20" w:after="20"/>
              <w:jc w:val="center"/>
            </w:pPr>
            <w:r>
              <w:t>9</w:t>
            </w:r>
            <w:r w:rsidR="000359F2">
              <w:t>%</w:t>
            </w:r>
          </w:p>
        </w:tc>
        <w:tc>
          <w:tcPr>
            <w:tcW w:w="973" w:type="pct"/>
            <w:tcBorders>
              <w:top w:val="single" w:sz="4" w:space="0" w:color="auto"/>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single" w:sz="4"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rsidRPr="00242FA9">
              <w:t>24-Hour</w:t>
            </w:r>
          </w:p>
        </w:tc>
        <w:tc>
          <w:tcPr>
            <w:tcW w:w="79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1.</w:t>
            </w:r>
            <w:r w:rsidR="00BD3722">
              <w:t>16</w:t>
            </w:r>
          </w:p>
        </w:tc>
        <w:tc>
          <w:tcPr>
            <w:tcW w:w="82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rsidRPr="00242FA9">
              <w:t>5</w:t>
            </w:r>
          </w:p>
        </w:tc>
        <w:tc>
          <w:tcPr>
            <w:tcW w:w="688"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2</w:t>
            </w:r>
            <w:r w:rsidR="00BD3722">
              <w:t>3</w:t>
            </w:r>
            <w:r>
              <w:t>%</w:t>
            </w:r>
          </w:p>
        </w:tc>
        <w:tc>
          <w:tcPr>
            <w:tcW w:w="973" w:type="pct"/>
            <w:tcBorders>
              <w:top w:val="nil"/>
              <w:bottom w:val="single" w:sz="4" w:space="0" w:color="auto"/>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val="restart"/>
            <w:tcBorders>
              <w:top w:val="single" w:sz="4" w:space="0" w:color="auto"/>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SO</w:t>
            </w:r>
            <w:r w:rsidRPr="008153BB">
              <w:rPr>
                <w:b/>
                <w:vertAlign w:val="subscript"/>
              </w:rPr>
              <w:t>2</w:t>
            </w:r>
          </w:p>
        </w:tc>
        <w:tc>
          <w:tcPr>
            <w:tcW w:w="608" w:type="pct"/>
            <w:tcBorders>
              <w:top w:val="single" w:sz="4" w:space="0" w:color="auto"/>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Annual</w:t>
            </w:r>
          </w:p>
        </w:tc>
        <w:tc>
          <w:tcPr>
            <w:tcW w:w="79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0.09</w:t>
            </w:r>
          </w:p>
        </w:tc>
        <w:tc>
          <w:tcPr>
            <w:tcW w:w="82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1</w:t>
            </w:r>
          </w:p>
        </w:tc>
        <w:tc>
          <w:tcPr>
            <w:tcW w:w="688"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9%</w:t>
            </w:r>
          </w:p>
        </w:tc>
        <w:tc>
          <w:tcPr>
            <w:tcW w:w="973" w:type="pct"/>
            <w:tcBorders>
              <w:top w:val="single" w:sz="4" w:space="0" w:color="auto"/>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24-Hour</w:t>
            </w:r>
          </w:p>
        </w:tc>
        <w:tc>
          <w:tcPr>
            <w:tcW w:w="795" w:type="pct"/>
            <w:tcBorders>
              <w:top w:val="nil"/>
              <w:bottom w:val="nil"/>
            </w:tcBorders>
            <w:vAlign w:val="center"/>
          </w:tcPr>
          <w:p w:rsidR="000359F2" w:rsidRPr="00242FA9" w:rsidRDefault="00BD3722" w:rsidP="00CF08C0">
            <w:pPr>
              <w:keepNext/>
              <w:keepLines/>
              <w:autoSpaceDE w:val="0"/>
              <w:autoSpaceDN w:val="0"/>
              <w:adjustRightInd w:val="0"/>
              <w:spacing w:before="20" w:after="20"/>
              <w:jc w:val="center"/>
            </w:pPr>
            <w:r>
              <w:t>0.94</w:t>
            </w:r>
          </w:p>
        </w:tc>
        <w:tc>
          <w:tcPr>
            <w:tcW w:w="825"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5</w:t>
            </w:r>
          </w:p>
        </w:tc>
        <w:tc>
          <w:tcPr>
            <w:tcW w:w="688" w:type="pct"/>
            <w:tcBorders>
              <w:top w:val="nil"/>
              <w:bottom w:val="nil"/>
            </w:tcBorders>
            <w:vAlign w:val="center"/>
          </w:tcPr>
          <w:p w:rsidR="000359F2" w:rsidRPr="00242FA9" w:rsidRDefault="00BD3722" w:rsidP="00CF08C0">
            <w:pPr>
              <w:keepNext/>
              <w:keepLines/>
              <w:autoSpaceDE w:val="0"/>
              <w:autoSpaceDN w:val="0"/>
              <w:adjustRightInd w:val="0"/>
              <w:spacing w:before="20" w:after="20"/>
              <w:jc w:val="center"/>
            </w:pPr>
            <w:r>
              <w:t>19</w:t>
            </w:r>
            <w:r w:rsidR="000359F2">
              <w:t>%</w:t>
            </w:r>
          </w:p>
        </w:tc>
        <w:tc>
          <w:tcPr>
            <w:tcW w:w="973" w:type="pct"/>
            <w:tcBorders>
              <w:top w:val="nil"/>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3-Hour</w:t>
            </w:r>
          </w:p>
        </w:tc>
        <w:tc>
          <w:tcPr>
            <w:tcW w:w="795"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2.</w:t>
            </w:r>
            <w:r w:rsidR="00BD3722">
              <w:t>49</w:t>
            </w:r>
          </w:p>
        </w:tc>
        <w:tc>
          <w:tcPr>
            <w:tcW w:w="825"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25</w:t>
            </w:r>
          </w:p>
        </w:tc>
        <w:tc>
          <w:tcPr>
            <w:tcW w:w="688" w:type="pct"/>
            <w:tcBorders>
              <w:top w:val="nil"/>
              <w:bottom w:val="nil"/>
            </w:tcBorders>
            <w:vAlign w:val="center"/>
          </w:tcPr>
          <w:p w:rsidR="000359F2" w:rsidRPr="00242FA9" w:rsidRDefault="000359F2" w:rsidP="00CF08C0">
            <w:pPr>
              <w:keepNext/>
              <w:keepLines/>
              <w:autoSpaceDE w:val="0"/>
              <w:autoSpaceDN w:val="0"/>
              <w:adjustRightInd w:val="0"/>
              <w:spacing w:before="20" w:after="20"/>
              <w:jc w:val="center"/>
            </w:pPr>
            <w:r>
              <w:t>1</w:t>
            </w:r>
            <w:r w:rsidR="00BD3722">
              <w:t>0</w:t>
            </w:r>
            <w:r>
              <w:t>%</w:t>
            </w:r>
          </w:p>
        </w:tc>
        <w:tc>
          <w:tcPr>
            <w:tcW w:w="973" w:type="pct"/>
            <w:tcBorders>
              <w:top w:val="nil"/>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single" w:sz="4"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1-Hour</w:t>
            </w:r>
          </w:p>
        </w:tc>
        <w:tc>
          <w:tcPr>
            <w:tcW w:w="79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2.</w:t>
            </w:r>
            <w:r w:rsidR="00BD3722">
              <w:t>3</w:t>
            </w:r>
            <w:r>
              <w:t>6</w:t>
            </w:r>
          </w:p>
        </w:tc>
        <w:tc>
          <w:tcPr>
            <w:tcW w:w="82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7.86</w:t>
            </w:r>
          </w:p>
        </w:tc>
        <w:tc>
          <w:tcPr>
            <w:tcW w:w="688"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3</w:t>
            </w:r>
            <w:r w:rsidR="00BD3722">
              <w:t>0</w:t>
            </w:r>
            <w:r>
              <w:t>%</w:t>
            </w:r>
          </w:p>
        </w:tc>
        <w:tc>
          <w:tcPr>
            <w:tcW w:w="973" w:type="pct"/>
            <w:tcBorders>
              <w:top w:val="nil"/>
              <w:bottom w:val="single" w:sz="4" w:space="0" w:color="auto"/>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val="restart"/>
            <w:tcBorders>
              <w:top w:val="single" w:sz="4" w:space="0" w:color="auto"/>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NO</w:t>
            </w:r>
            <w:r w:rsidRPr="008153BB">
              <w:rPr>
                <w:b/>
                <w:vertAlign w:val="subscript"/>
              </w:rPr>
              <w:t>2</w:t>
            </w:r>
          </w:p>
        </w:tc>
        <w:tc>
          <w:tcPr>
            <w:tcW w:w="608" w:type="pct"/>
            <w:tcBorders>
              <w:top w:val="single" w:sz="4" w:space="0" w:color="auto"/>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Annual</w:t>
            </w:r>
          </w:p>
        </w:tc>
        <w:tc>
          <w:tcPr>
            <w:tcW w:w="79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0.11</w:t>
            </w:r>
          </w:p>
        </w:tc>
        <w:tc>
          <w:tcPr>
            <w:tcW w:w="82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1</w:t>
            </w:r>
          </w:p>
        </w:tc>
        <w:tc>
          <w:tcPr>
            <w:tcW w:w="688"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11%</w:t>
            </w:r>
          </w:p>
        </w:tc>
        <w:tc>
          <w:tcPr>
            <w:tcW w:w="973" w:type="pct"/>
            <w:tcBorders>
              <w:top w:val="single" w:sz="4" w:space="0" w:color="auto"/>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tcBorders>
              <w:top w:val="nil"/>
              <w:left w:val="single" w:sz="12" w:space="0" w:color="auto"/>
              <w:bottom w:val="single" w:sz="4"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1-Hour</w:t>
            </w:r>
          </w:p>
        </w:tc>
        <w:tc>
          <w:tcPr>
            <w:tcW w:w="79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3.</w:t>
            </w:r>
            <w:r w:rsidR="00BD3722">
              <w:t>05</w:t>
            </w:r>
          </w:p>
        </w:tc>
        <w:tc>
          <w:tcPr>
            <w:tcW w:w="825"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7.52</w:t>
            </w:r>
          </w:p>
        </w:tc>
        <w:tc>
          <w:tcPr>
            <w:tcW w:w="688" w:type="pct"/>
            <w:tcBorders>
              <w:top w:val="nil"/>
              <w:bottom w:val="single" w:sz="4" w:space="0" w:color="auto"/>
            </w:tcBorders>
            <w:vAlign w:val="center"/>
          </w:tcPr>
          <w:p w:rsidR="000359F2" w:rsidRPr="00242FA9" w:rsidRDefault="000359F2" w:rsidP="00CF08C0">
            <w:pPr>
              <w:keepNext/>
              <w:keepLines/>
              <w:autoSpaceDE w:val="0"/>
              <w:autoSpaceDN w:val="0"/>
              <w:adjustRightInd w:val="0"/>
              <w:spacing w:before="20" w:after="20"/>
              <w:jc w:val="center"/>
            </w:pPr>
            <w:r>
              <w:t>4</w:t>
            </w:r>
            <w:r w:rsidR="00BD3722">
              <w:t>1</w:t>
            </w:r>
            <w:r>
              <w:t>%</w:t>
            </w:r>
          </w:p>
        </w:tc>
        <w:tc>
          <w:tcPr>
            <w:tcW w:w="973" w:type="pct"/>
            <w:tcBorders>
              <w:top w:val="nil"/>
              <w:bottom w:val="single" w:sz="4" w:space="0" w:color="auto"/>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50"/>
          <w:jc w:val="center"/>
        </w:trPr>
        <w:tc>
          <w:tcPr>
            <w:tcW w:w="560" w:type="pct"/>
            <w:vMerge w:val="restart"/>
            <w:tcBorders>
              <w:top w:val="single" w:sz="4" w:space="0" w:color="auto"/>
              <w:left w:val="single" w:sz="12" w:space="0" w:color="auto"/>
              <w:bottom w:val="nil"/>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r>
              <w:rPr>
                <w:b/>
              </w:rPr>
              <w:t>CO</w:t>
            </w:r>
          </w:p>
        </w:tc>
        <w:tc>
          <w:tcPr>
            <w:tcW w:w="608" w:type="pct"/>
            <w:tcBorders>
              <w:top w:val="single" w:sz="4" w:space="0" w:color="auto"/>
              <w:left w:val="single" w:sz="12"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8-Hour</w:t>
            </w:r>
          </w:p>
        </w:tc>
        <w:tc>
          <w:tcPr>
            <w:tcW w:w="79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5.</w:t>
            </w:r>
            <w:r w:rsidR="00BD3722">
              <w:t>2</w:t>
            </w:r>
          </w:p>
        </w:tc>
        <w:tc>
          <w:tcPr>
            <w:tcW w:w="825"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500</w:t>
            </w:r>
          </w:p>
        </w:tc>
        <w:tc>
          <w:tcPr>
            <w:tcW w:w="688" w:type="pct"/>
            <w:tcBorders>
              <w:top w:val="single" w:sz="4" w:space="0" w:color="auto"/>
              <w:bottom w:val="nil"/>
            </w:tcBorders>
            <w:vAlign w:val="center"/>
          </w:tcPr>
          <w:p w:rsidR="000359F2" w:rsidRPr="00242FA9" w:rsidRDefault="000359F2" w:rsidP="00CF08C0">
            <w:pPr>
              <w:keepNext/>
              <w:keepLines/>
              <w:autoSpaceDE w:val="0"/>
              <w:autoSpaceDN w:val="0"/>
              <w:adjustRightInd w:val="0"/>
              <w:spacing w:before="20" w:after="20"/>
              <w:jc w:val="center"/>
            </w:pPr>
            <w:r>
              <w:t>1%</w:t>
            </w:r>
          </w:p>
        </w:tc>
        <w:tc>
          <w:tcPr>
            <w:tcW w:w="973" w:type="pct"/>
            <w:tcBorders>
              <w:top w:val="single" w:sz="4" w:space="0" w:color="auto"/>
              <w:bottom w:val="nil"/>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r w:rsidR="003237BB" w:rsidRPr="004A2248" w:rsidTr="003237BB">
        <w:trPr>
          <w:trHeight w:val="139"/>
          <w:jc w:val="center"/>
        </w:trPr>
        <w:tc>
          <w:tcPr>
            <w:tcW w:w="560" w:type="pct"/>
            <w:vMerge/>
            <w:tcBorders>
              <w:top w:val="nil"/>
              <w:left w:val="single" w:sz="12" w:space="0" w:color="auto"/>
              <w:bottom w:val="single" w:sz="12" w:space="0" w:color="auto"/>
              <w:right w:val="single" w:sz="12" w:space="0" w:color="auto"/>
            </w:tcBorders>
            <w:shd w:val="clear" w:color="auto" w:fill="B8CCE4"/>
            <w:vAlign w:val="center"/>
          </w:tcPr>
          <w:p w:rsidR="000359F2" w:rsidRPr="00FF09C8" w:rsidRDefault="000359F2" w:rsidP="00CF08C0">
            <w:pPr>
              <w:keepNext/>
              <w:keepLines/>
              <w:autoSpaceDE w:val="0"/>
              <w:autoSpaceDN w:val="0"/>
              <w:adjustRightInd w:val="0"/>
              <w:jc w:val="center"/>
              <w:rPr>
                <w:b/>
              </w:rPr>
            </w:pPr>
          </w:p>
        </w:tc>
        <w:tc>
          <w:tcPr>
            <w:tcW w:w="608" w:type="pct"/>
            <w:tcBorders>
              <w:top w:val="nil"/>
              <w:left w:val="single" w:sz="12" w:space="0" w:color="auto"/>
              <w:bottom w:val="single" w:sz="12" w:space="0" w:color="auto"/>
            </w:tcBorders>
            <w:vAlign w:val="center"/>
          </w:tcPr>
          <w:p w:rsidR="000359F2" w:rsidRPr="00242FA9" w:rsidRDefault="000359F2" w:rsidP="00CF08C0">
            <w:pPr>
              <w:keepNext/>
              <w:keepLines/>
              <w:autoSpaceDE w:val="0"/>
              <w:autoSpaceDN w:val="0"/>
              <w:adjustRightInd w:val="0"/>
              <w:spacing w:before="20" w:after="20"/>
              <w:jc w:val="center"/>
            </w:pPr>
            <w:r>
              <w:t>1-Hour</w:t>
            </w:r>
          </w:p>
        </w:tc>
        <w:tc>
          <w:tcPr>
            <w:tcW w:w="795" w:type="pct"/>
            <w:tcBorders>
              <w:top w:val="nil"/>
              <w:bottom w:val="single" w:sz="12" w:space="0" w:color="auto"/>
            </w:tcBorders>
            <w:vAlign w:val="center"/>
          </w:tcPr>
          <w:p w:rsidR="000359F2" w:rsidRPr="00242FA9" w:rsidRDefault="00BD3722" w:rsidP="00CF08C0">
            <w:pPr>
              <w:keepNext/>
              <w:keepLines/>
              <w:autoSpaceDE w:val="0"/>
              <w:autoSpaceDN w:val="0"/>
              <w:adjustRightInd w:val="0"/>
              <w:spacing w:before="20" w:after="20"/>
              <w:jc w:val="center"/>
            </w:pPr>
            <w:r>
              <w:t>8.4</w:t>
            </w:r>
          </w:p>
        </w:tc>
        <w:tc>
          <w:tcPr>
            <w:tcW w:w="825" w:type="pct"/>
            <w:tcBorders>
              <w:top w:val="nil"/>
              <w:bottom w:val="single" w:sz="12" w:space="0" w:color="auto"/>
            </w:tcBorders>
            <w:vAlign w:val="center"/>
          </w:tcPr>
          <w:p w:rsidR="000359F2" w:rsidRPr="00242FA9" w:rsidRDefault="000359F2" w:rsidP="00CF08C0">
            <w:pPr>
              <w:keepNext/>
              <w:keepLines/>
              <w:autoSpaceDE w:val="0"/>
              <w:autoSpaceDN w:val="0"/>
              <w:adjustRightInd w:val="0"/>
              <w:spacing w:before="20" w:after="20"/>
              <w:jc w:val="center"/>
            </w:pPr>
            <w:r>
              <w:t>-</w:t>
            </w:r>
          </w:p>
        </w:tc>
        <w:tc>
          <w:tcPr>
            <w:tcW w:w="550" w:type="pct"/>
            <w:tcBorders>
              <w:top w:val="nil"/>
              <w:bottom w:val="single" w:sz="12" w:space="0" w:color="auto"/>
            </w:tcBorders>
            <w:vAlign w:val="center"/>
          </w:tcPr>
          <w:p w:rsidR="000359F2" w:rsidRPr="00242FA9" w:rsidRDefault="000359F2" w:rsidP="00CF08C0">
            <w:pPr>
              <w:keepNext/>
              <w:keepLines/>
              <w:autoSpaceDE w:val="0"/>
              <w:autoSpaceDN w:val="0"/>
              <w:adjustRightInd w:val="0"/>
              <w:spacing w:before="20" w:after="20"/>
              <w:jc w:val="center"/>
            </w:pPr>
            <w:r>
              <w:t>2,000</w:t>
            </w:r>
          </w:p>
        </w:tc>
        <w:tc>
          <w:tcPr>
            <w:tcW w:w="688" w:type="pct"/>
            <w:tcBorders>
              <w:top w:val="nil"/>
              <w:bottom w:val="single" w:sz="12" w:space="0" w:color="auto"/>
            </w:tcBorders>
            <w:vAlign w:val="center"/>
          </w:tcPr>
          <w:p w:rsidR="000359F2" w:rsidRPr="00242FA9" w:rsidRDefault="000359F2" w:rsidP="00CF08C0">
            <w:pPr>
              <w:keepNext/>
              <w:keepLines/>
              <w:autoSpaceDE w:val="0"/>
              <w:autoSpaceDN w:val="0"/>
              <w:adjustRightInd w:val="0"/>
              <w:spacing w:before="20" w:after="20"/>
              <w:jc w:val="center"/>
            </w:pPr>
            <w:r>
              <w:t>0.</w:t>
            </w:r>
            <w:r w:rsidR="00BD3722">
              <w:t>4</w:t>
            </w:r>
            <w:r>
              <w:t>%</w:t>
            </w:r>
          </w:p>
        </w:tc>
        <w:tc>
          <w:tcPr>
            <w:tcW w:w="973" w:type="pct"/>
            <w:tcBorders>
              <w:top w:val="nil"/>
              <w:bottom w:val="single" w:sz="12" w:space="0" w:color="auto"/>
              <w:right w:val="single" w:sz="12" w:space="0" w:color="auto"/>
            </w:tcBorders>
            <w:vAlign w:val="center"/>
          </w:tcPr>
          <w:p w:rsidR="000359F2" w:rsidRPr="006A03F9" w:rsidRDefault="000359F2" w:rsidP="00CF08C0">
            <w:pPr>
              <w:keepNext/>
              <w:keepLines/>
              <w:autoSpaceDE w:val="0"/>
              <w:autoSpaceDN w:val="0"/>
              <w:adjustRightInd w:val="0"/>
              <w:spacing w:before="20" w:after="20"/>
              <w:jc w:val="center"/>
            </w:pPr>
            <w:r w:rsidRPr="006A03F9">
              <w:t>No</w:t>
            </w:r>
          </w:p>
        </w:tc>
      </w:tr>
    </w:tbl>
    <w:p w:rsidR="00EF6B10" w:rsidRPr="00EF6B10" w:rsidRDefault="00EF6B10" w:rsidP="009A539A">
      <w:pPr>
        <w:widowControl w:val="0"/>
        <w:numPr>
          <w:ilvl w:val="2"/>
          <w:numId w:val="3"/>
        </w:numPr>
        <w:spacing w:before="120" w:after="120"/>
        <w:ind w:left="720" w:hanging="720"/>
        <w:rPr>
          <w:sz w:val="22"/>
          <w:szCs w:val="22"/>
          <w:u w:val="single"/>
        </w:rPr>
      </w:pPr>
      <w:r w:rsidRPr="00EF6B10">
        <w:rPr>
          <w:sz w:val="22"/>
          <w:szCs w:val="22"/>
          <w:u w:val="single"/>
        </w:rPr>
        <w:t>Class I Analysis</w:t>
      </w:r>
    </w:p>
    <w:p w:rsidR="009A539A" w:rsidRDefault="00EF6B10" w:rsidP="00EF6B10">
      <w:pPr>
        <w:widowControl w:val="0"/>
        <w:spacing w:after="120"/>
        <w:rPr>
          <w:sz w:val="22"/>
          <w:szCs w:val="22"/>
        </w:rPr>
      </w:pPr>
      <w:r w:rsidRPr="00EF6B10">
        <w:rPr>
          <w:sz w:val="22"/>
          <w:szCs w:val="22"/>
        </w:rPr>
        <w:t xml:space="preserve">All areas not explicitly designated as Class I in 40 CFR 81 Subpart D (such as national parks and wilderness areas) are considered Class II areas. </w:t>
      </w:r>
      <w:r w:rsidR="002A0497">
        <w:rPr>
          <w:sz w:val="22"/>
          <w:szCs w:val="22"/>
        </w:rPr>
        <w:t xml:space="preserve"> </w:t>
      </w:r>
      <w:r w:rsidRPr="00EF6B10">
        <w:rPr>
          <w:sz w:val="22"/>
          <w:szCs w:val="22"/>
        </w:rPr>
        <w:t xml:space="preserve">While the NAAQS apply to all areas equally, more stringent SILs and increments exist for Class I areas. </w:t>
      </w:r>
      <w:r w:rsidR="002A0497">
        <w:rPr>
          <w:sz w:val="22"/>
          <w:szCs w:val="22"/>
        </w:rPr>
        <w:t xml:space="preserve"> </w:t>
      </w:r>
      <w:r w:rsidRPr="00EF6B10">
        <w:rPr>
          <w:sz w:val="22"/>
          <w:szCs w:val="22"/>
        </w:rPr>
        <w:t xml:space="preserve">A Class I analysis is required for any project that may affect a Federal Class I area. </w:t>
      </w:r>
      <w:r w:rsidR="007C5838">
        <w:rPr>
          <w:sz w:val="22"/>
          <w:szCs w:val="22"/>
        </w:rPr>
        <w:t xml:space="preserve"> </w:t>
      </w:r>
      <w:r w:rsidRPr="00EF6B10">
        <w:rPr>
          <w:sz w:val="22"/>
          <w:szCs w:val="22"/>
        </w:rPr>
        <w:t xml:space="preserve">The Class I area closest to the project site is Chassahowitzka National Wilderness Area (CNWA), 28.2 km to the </w:t>
      </w:r>
      <w:r w:rsidR="007C5838">
        <w:rPr>
          <w:sz w:val="22"/>
          <w:szCs w:val="22"/>
        </w:rPr>
        <w:t>north-northwest</w:t>
      </w:r>
      <w:r w:rsidRPr="00EF6B10">
        <w:rPr>
          <w:sz w:val="22"/>
          <w:szCs w:val="22"/>
        </w:rPr>
        <w:t xml:space="preserve"> (</w:t>
      </w:r>
      <w:r w:rsidR="009A539A">
        <w:rPr>
          <w:sz w:val="22"/>
          <w:szCs w:val="22"/>
        </w:rPr>
        <w:t xml:space="preserve">see </w:t>
      </w:r>
      <w:r w:rsidRPr="00EF6B10">
        <w:rPr>
          <w:b/>
          <w:sz w:val="22"/>
          <w:szCs w:val="22"/>
        </w:rPr>
        <w:fldChar w:fldCharType="begin"/>
      </w:r>
      <w:r w:rsidRPr="00EF6B10">
        <w:rPr>
          <w:b/>
          <w:sz w:val="22"/>
          <w:szCs w:val="22"/>
        </w:rPr>
        <w:instrText xml:space="preserve"> REF _Ref485728699 \h  \* MERGEFORMAT </w:instrText>
      </w:r>
      <w:r w:rsidRPr="00EF6B10">
        <w:rPr>
          <w:b/>
          <w:sz w:val="22"/>
          <w:szCs w:val="22"/>
        </w:rPr>
      </w:r>
      <w:r w:rsidRPr="00EF6B10">
        <w:rPr>
          <w:b/>
          <w:sz w:val="22"/>
          <w:szCs w:val="22"/>
        </w:rPr>
        <w:fldChar w:fldCharType="separate"/>
      </w:r>
      <w:r w:rsidR="003E3FA4" w:rsidRPr="00EF6B10">
        <w:rPr>
          <w:b/>
          <w:sz w:val="22"/>
          <w:szCs w:val="22"/>
        </w:rPr>
        <w:t xml:space="preserve">Figure </w:t>
      </w:r>
      <w:r w:rsidR="003E3FA4">
        <w:rPr>
          <w:b/>
          <w:sz w:val="22"/>
          <w:szCs w:val="22"/>
        </w:rPr>
        <w:t>9</w:t>
      </w:r>
      <w:r w:rsidRPr="00EF6B10">
        <w:rPr>
          <w:sz w:val="22"/>
          <w:szCs w:val="22"/>
        </w:rPr>
        <w:fldChar w:fldCharType="end"/>
      </w:r>
      <w:r w:rsidRPr="00EF6B10">
        <w:rPr>
          <w:sz w:val="22"/>
          <w:szCs w:val="22"/>
        </w:rPr>
        <w:t xml:space="preserve">). </w:t>
      </w:r>
      <w:r w:rsidR="002A0497">
        <w:rPr>
          <w:sz w:val="22"/>
          <w:szCs w:val="22"/>
        </w:rPr>
        <w:t xml:space="preserve"> </w:t>
      </w:r>
      <w:r w:rsidRPr="00EF6B10">
        <w:rPr>
          <w:sz w:val="22"/>
          <w:szCs w:val="22"/>
        </w:rPr>
        <w:t>All other Class I areas are more than 200 km away from the project site.</w:t>
      </w:r>
    </w:p>
    <w:p w:rsidR="00EF6B10" w:rsidRPr="009A539A" w:rsidRDefault="00EF6B10" w:rsidP="009A539A">
      <w:pPr>
        <w:widowControl w:val="0"/>
        <w:numPr>
          <w:ilvl w:val="3"/>
          <w:numId w:val="3"/>
        </w:numPr>
        <w:spacing w:before="120" w:after="120"/>
        <w:ind w:left="720" w:hanging="720"/>
        <w:rPr>
          <w:sz w:val="22"/>
          <w:szCs w:val="22"/>
          <w:u w:val="single"/>
        </w:rPr>
      </w:pPr>
      <w:r w:rsidRPr="00A54705">
        <w:rPr>
          <w:i/>
          <w:sz w:val="22"/>
          <w:szCs w:val="22"/>
        </w:rPr>
        <w:t>Class I SIL analysis</w:t>
      </w:r>
    </w:p>
    <w:p w:rsidR="00EF6B10" w:rsidRPr="00EF6B10" w:rsidRDefault="00EF6B10" w:rsidP="00EF6B10">
      <w:pPr>
        <w:widowControl w:val="0"/>
        <w:spacing w:after="120"/>
        <w:rPr>
          <w:sz w:val="22"/>
          <w:szCs w:val="22"/>
        </w:rPr>
      </w:pPr>
      <w:r w:rsidRPr="00EF6B10">
        <w:rPr>
          <w:sz w:val="22"/>
          <w:szCs w:val="22"/>
        </w:rPr>
        <w:t>A screening analysis was performed using AERMOD to evaluate the annual, 24-hour and 3-hour SO</w:t>
      </w:r>
      <w:r w:rsidRPr="00EF6B10">
        <w:rPr>
          <w:sz w:val="22"/>
          <w:szCs w:val="22"/>
          <w:vertAlign w:val="subscript"/>
        </w:rPr>
        <w:t>2</w:t>
      </w:r>
      <w:r w:rsidRPr="00EF6B10">
        <w:rPr>
          <w:sz w:val="22"/>
          <w:szCs w:val="22"/>
        </w:rPr>
        <w:t xml:space="preserve"> SILs; the annual and 24-hour PM</w:t>
      </w:r>
      <w:r w:rsidRPr="00EF6B10">
        <w:rPr>
          <w:sz w:val="22"/>
          <w:szCs w:val="22"/>
          <w:vertAlign w:val="subscript"/>
        </w:rPr>
        <w:t>2.5</w:t>
      </w:r>
      <w:r w:rsidRPr="00EF6B10">
        <w:rPr>
          <w:sz w:val="22"/>
          <w:szCs w:val="22"/>
        </w:rPr>
        <w:t xml:space="preserve"> and PM</w:t>
      </w:r>
      <w:r w:rsidRPr="00EF6B10">
        <w:rPr>
          <w:sz w:val="22"/>
          <w:szCs w:val="22"/>
          <w:vertAlign w:val="subscript"/>
        </w:rPr>
        <w:t>10</w:t>
      </w:r>
      <w:r w:rsidRPr="00EF6B10">
        <w:rPr>
          <w:sz w:val="22"/>
          <w:szCs w:val="22"/>
        </w:rPr>
        <w:t xml:space="preserve"> SILs; and the annual NO</w:t>
      </w:r>
      <w:r w:rsidRPr="00EF6B10">
        <w:rPr>
          <w:sz w:val="22"/>
          <w:szCs w:val="22"/>
          <w:vertAlign w:val="subscript"/>
        </w:rPr>
        <w:t>2</w:t>
      </w:r>
      <w:r w:rsidRPr="00EF6B10">
        <w:rPr>
          <w:sz w:val="22"/>
          <w:szCs w:val="22"/>
        </w:rPr>
        <w:t xml:space="preserve"> SIL. </w:t>
      </w:r>
      <w:r w:rsidR="002A0497">
        <w:rPr>
          <w:sz w:val="22"/>
          <w:szCs w:val="22"/>
        </w:rPr>
        <w:t xml:space="preserve"> </w:t>
      </w:r>
      <w:r w:rsidRPr="00EF6B10">
        <w:rPr>
          <w:sz w:val="22"/>
          <w:szCs w:val="22"/>
        </w:rPr>
        <w:t xml:space="preserve">AERMOD was run using a ring of receptors located 28.2 km from the project site (the distance to the nearest Class I area) and spaced at 1-degree intervals. </w:t>
      </w:r>
      <w:r w:rsidR="002A0497">
        <w:rPr>
          <w:sz w:val="22"/>
          <w:szCs w:val="22"/>
        </w:rPr>
        <w:t xml:space="preserve"> </w:t>
      </w:r>
      <w:r w:rsidR="006470D0" w:rsidRPr="00E20F9D">
        <w:rPr>
          <w:sz w:val="22"/>
          <w:szCs w:val="22"/>
        </w:rPr>
        <w:t>For 24-hour and annual PM</w:t>
      </w:r>
      <w:r w:rsidR="006470D0" w:rsidRPr="00E20F9D">
        <w:rPr>
          <w:sz w:val="22"/>
          <w:szCs w:val="22"/>
          <w:vertAlign w:val="subscript"/>
        </w:rPr>
        <w:t>2.5</w:t>
      </w:r>
      <w:r w:rsidR="006470D0" w:rsidRPr="00E20F9D">
        <w:rPr>
          <w:sz w:val="22"/>
          <w:szCs w:val="22"/>
        </w:rPr>
        <w:t>, because the applicant did not provide an analysis of secondary PM</w:t>
      </w:r>
      <w:r w:rsidR="006470D0" w:rsidRPr="00E20F9D">
        <w:rPr>
          <w:sz w:val="22"/>
          <w:szCs w:val="22"/>
          <w:vertAlign w:val="subscript"/>
        </w:rPr>
        <w:t>2.5</w:t>
      </w:r>
      <w:r w:rsidR="006470D0" w:rsidRPr="00E20F9D">
        <w:rPr>
          <w:sz w:val="22"/>
          <w:szCs w:val="22"/>
        </w:rPr>
        <w:t xml:space="preserve"> impacts for Class I areas, the Department estimated the project’s secondary impacts using the MERP values in</w:t>
      </w:r>
      <w:r w:rsidR="009A539A">
        <w:rPr>
          <w:sz w:val="22"/>
          <w:szCs w:val="22"/>
        </w:rPr>
        <w:t xml:space="preserve"> </w:t>
      </w:r>
      <w:r w:rsidR="009A539A" w:rsidRPr="009A539A">
        <w:rPr>
          <w:rFonts w:ascii="Times New Roman Bold" w:hAnsi="Times New Roman Bold"/>
          <w:b/>
          <w:sz w:val="22"/>
          <w:szCs w:val="22"/>
        </w:rPr>
        <w:fldChar w:fldCharType="begin"/>
      </w:r>
      <w:r w:rsidR="009A539A" w:rsidRPr="009A539A">
        <w:rPr>
          <w:rFonts w:ascii="Times New Roman Bold" w:hAnsi="Times New Roman Bold"/>
          <w:b/>
          <w:sz w:val="22"/>
          <w:szCs w:val="22"/>
        </w:rPr>
        <w:instrText xml:space="preserve"> REF _Ref513626680 \h </w:instrText>
      </w:r>
      <w:r w:rsidR="009A539A">
        <w:rPr>
          <w:rFonts w:ascii="Times New Roman Bold" w:hAnsi="Times New Roman Bold"/>
          <w:b/>
          <w:sz w:val="22"/>
          <w:szCs w:val="22"/>
        </w:rPr>
        <w:instrText xml:space="preserve"> \* MERGEFORMAT </w:instrText>
      </w:r>
      <w:r w:rsidR="009A539A" w:rsidRPr="009A539A">
        <w:rPr>
          <w:rFonts w:ascii="Times New Roman Bold" w:hAnsi="Times New Roman Bold"/>
          <w:b/>
          <w:sz w:val="22"/>
          <w:szCs w:val="22"/>
        </w:rPr>
      </w:r>
      <w:r w:rsidR="009A539A" w:rsidRPr="009A539A">
        <w:rPr>
          <w:rFonts w:ascii="Times New Roman Bold" w:hAnsi="Times New Roman Bold"/>
          <w:b/>
          <w:sz w:val="22"/>
          <w:szCs w:val="22"/>
        </w:rPr>
        <w:fldChar w:fldCharType="separate"/>
      </w:r>
      <w:r w:rsidR="009A539A" w:rsidRPr="009A539A">
        <w:rPr>
          <w:rFonts w:ascii="Times New Roman Bold" w:hAnsi="Times New Roman Bold"/>
          <w:b/>
          <w:sz w:val="22"/>
        </w:rPr>
        <w:t xml:space="preserve">Table </w:t>
      </w:r>
      <w:r w:rsidR="009A539A" w:rsidRPr="009A539A">
        <w:rPr>
          <w:rFonts w:ascii="Times New Roman Bold" w:hAnsi="Times New Roman Bold"/>
          <w:b/>
          <w:noProof/>
          <w:sz w:val="22"/>
        </w:rPr>
        <w:t>24</w:t>
      </w:r>
      <w:r w:rsidR="009A539A" w:rsidRPr="009A539A">
        <w:rPr>
          <w:rFonts w:ascii="Times New Roman Bold" w:hAnsi="Times New Roman Bold"/>
          <w:b/>
          <w:sz w:val="22"/>
          <w:szCs w:val="22"/>
        </w:rPr>
        <w:fldChar w:fldCharType="end"/>
      </w:r>
      <w:r w:rsidRPr="00E20F9D">
        <w:rPr>
          <w:sz w:val="22"/>
          <w:szCs w:val="22"/>
        </w:rPr>
        <w:t>.</w:t>
      </w:r>
      <w:r w:rsidRPr="00EF6B10">
        <w:rPr>
          <w:sz w:val="22"/>
          <w:szCs w:val="22"/>
        </w:rPr>
        <w:t xml:space="preserve"> </w:t>
      </w:r>
      <w:r w:rsidR="002A0497">
        <w:rPr>
          <w:sz w:val="22"/>
          <w:szCs w:val="22"/>
        </w:rPr>
        <w:t xml:space="preserve"> </w:t>
      </w:r>
      <w:r w:rsidRPr="00EF6B10">
        <w:rPr>
          <w:sz w:val="22"/>
          <w:szCs w:val="22"/>
        </w:rPr>
        <w:t>These secondary impacts were added to the primary impacts in AERMOD before comparison to the SIL.</w:t>
      </w:r>
    </w:p>
    <w:p w:rsidR="00EF6B10" w:rsidRPr="009A539A" w:rsidRDefault="009A539A" w:rsidP="009A539A">
      <w:pPr>
        <w:pStyle w:val="Caption"/>
        <w:spacing w:before="0"/>
        <w:jc w:val="center"/>
        <w:rPr>
          <w:rFonts w:ascii="Times New Roman Bold" w:hAnsi="Times New Roman Bold"/>
          <w:szCs w:val="22"/>
        </w:rPr>
      </w:pPr>
      <w:bookmarkStart w:id="87" w:name="_Ref513626680"/>
      <w:r w:rsidRPr="009A539A">
        <w:rPr>
          <w:rFonts w:ascii="Times New Roman Bold" w:hAnsi="Times New Roman Bold"/>
        </w:rPr>
        <w:t xml:space="preserve">Table </w:t>
      </w:r>
      <w:r w:rsidRPr="009A539A">
        <w:rPr>
          <w:rFonts w:ascii="Times New Roman Bold" w:hAnsi="Times New Roman Bold"/>
        </w:rPr>
        <w:fldChar w:fldCharType="begin"/>
      </w:r>
      <w:r w:rsidRPr="009A539A">
        <w:rPr>
          <w:rFonts w:ascii="Times New Roman Bold" w:hAnsi="Times New Roman Bold"/>
        </w:rPr>
        <w:instrText xml:space="preserve"> SEQ Table \* ARABIC </w:instrText>
      </w:r>
      <w:r w:rsidRPr="009A539A">
        <w:rPr>
          <w:rFonts w:ascii="Times New Roman Bold" w:hAnsi="Times New Roman Bold"/>
        </w:rPr>
        <w:fldChar w:fldCharType="separate"/>
      </w:r>
      <w:r w:rsidR="007204D0">
        <w:rPr>
          <w:rFonts w:ascii="Times New Roman Bold" w:hAnsi="Times New Roman Bold"/>
          <w:noProof/>
        </w:rPr>
        <w:t>24</w:t>
      </w:r>
      <w:r w:rsidRPr="009A539A">
        <w:rPr>
          <w:rFonts w:ascii="Times New Roman Bold" w:hAnsi="Times New Roman Bold"/>
        </w:rPr>
        <w:fldChar w:fldCharType="end"/>
      </w:r>
      <w:bookmarkEnd w:id="87"/>
      <w:r w:rsidRPr="009A539A">
        <w:rPr>
          <w:rFonts w:ascii="Times New Roman Bold" w:hAnsi="Times New Roman Bold"/>
        </w:rPr>
        <w:t xml:space="preserve"> - </w:t>
      </w:r>
      <w:r w:rsidR="00EF6B10" w:rsidRPr="009A539A">
        <w:rPr>
          <w:rFonts w:ascii="Times New Roman Bold" w:hAnsi="Times New Roman Bold"/>
          <w:szCs w:val="22"/>
        </w:rPr>
        <w:t>Modeled emission rates for precursors, and emissions and secondary pm</w:t>
      </w:r>
      <w:r w:rsidR="00EF6B10" w:rsidRPr="009A539A">
        <w:rPr>
          <w:rFonts w:ascii="Times New Roman Bold" w:hAnsi="Times New Roman Bold"/>
          <w:szCs w:val="22"/>
          <w:vertAlign w:val="subscript"/>
        </w:rPr>
        <w:t>2.5</w:t>
      </w:r>
      <w:r w:rsidR="00EF6B10" w:rsidRPr="009A539A">
        <w:rPr>
          <w:rFonts w:ascii="Times New Roman Bold" w:hAnsi="Times New Roman Bold"/>
          <w:szCs w:val="22"/>
        </w:rPr>
        <w:t xml:space="preserve"> impacts for the project.</w:t>
      </w:r>
    </w:p>
    <w:tbl>
      <w:tblPr>
        <w:tblW w:w="9177"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907"/>
        <w:gridCol w:w="1162"/>
        <w:gridCol w:w="1045"/>
        <w:gridCol w:w="1505"/>
        <w:gridCol w:w="2558"/>
      </w:tblGrid>
      <w:tr w:rsidR="005D2DB7" w:rsidRPr="00832A67" w:rsidTr="003A197A">
        <w:trPr>
          <w:trHeight w:val="492"/>
          <w:jc w:val="center"/>
        </w:trPr>
        <w:tc>
          <w:tcPr>
            <w:tcW w:w="2907" w:type="dxa"/>
            <w:tcBorders>
              <w:top w:val="single" w:sz="12" w:space="0" w:color="auto"/>
              <w:left w:val="single" w:sz="12" w:space="0" w:color="auto"/>
              <w:bottom w:val="single" w:sz="12" w:space="0" w:color="auto"/>
              <w:right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MERPs and Emissions (</w:t>
            </w:r>
            <w:r w:rsidR="003237BB">
              <w:rPr>
                <w:b/>
                <w:color w:val="000000"/>
              </w:rPr>
              <w:t>TPY</w:t>
            </w:r>
            <w:r w:rsidRPr="002B07F8">
              <w:rPr>
                <w:b/>
                <w:color w:val="000000"/>
              </w:rPr>
              <w:t>)</w:t>
            </w:r>
          </w:p>
        </w:tc>
        <w:tc>
          <w:tcPr>
            <w:tcW w:w="1162" w:type="dxa"/>
            <w:tcBorders>
              <w:top w:val="single" w:sz="12" w:space="0" w:color="auto"/>
              <w:left w:val="single" w:sz="12" w:space="0" w:color="auto"/>
              <w:bottom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NO</w:t>
            </w:r>
            <w:r w:rsidRPr="002B07F8">
              <w:rPr>
                <w:b/>
                <w:color w:val="000000"/>
                <w:vertAlign w:val="subscript"/>
              </w:rPr>
              <w:t>X</w:t>
            </w:r>
          </w:p>
        </w:tc>
        <w:tc>
          <w:tcPr>
            <w:tcW w:w="1045" w:type="dxa"/>
            <w:tcBorders>
              <w:top w:val="single" w:sz="12" w:space="0" w:color="auto"/>
              <w:bottom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SO</w:t>
            </w:r>
            <w:r w:rsidRPr="002B07F8">
              <w:rPr>
                <w:b/>
                <w:color w:val="000000"/>
                <w:vertAlign w:val="subscript"/>
              </w:rPr>
              <w:t>2</w:t>
            </w:r>
          </w:p>
        </w:tc>
        <w:tc>
          <w:tcPr>
            <w:tcW w:w="1505" w:type="dxa"/>
            <w:tcBorders>
              <w:top w:val="single" w:sz="12" w:space="0" w:color="auto"/>
              <w:bottom w:val="single" w:sz="12" w:space="0" w:color="auto"/>
            </w:tcBorders>
            <w:shd w:val="clear" w:color="auto" w:fill="B8CCE4"/>
            <w:vAlign w:val="center"/>
          </w:tcPr>
          <w:p w:rsidR="005D2DB7" w:rsidRPr="002B07F8" w:rsidRDefault="005D2DB7" w:rsidP="003237BB">
            <w:pPr>
              <w:keepNext/>
              <w:jc w:val="center"/>
              <w:rPr>
                <w:b/>
                <w:color w:val="000000"/>
              </w:rPr>
            </w:pPr>
            <w:r w:rsidRPr="002B07F8">
              <w:rPr>
                <w:b/>
                <w:color w:val="000000"/>
              </w:rPr>
              <w:t>Class I SILs</w:t>
            </w:r>
          </w:p>
        </w:tc>
        <w:tc>
          <w:tcPr>
            <w:tcW w:w="2558" w:type="dxa"/>
            <w:tcBorders>
              <w:top w:val="single" w:sz="12" w:space="0" w:color="auto"/>
              <w:bottom w:val="single" w:sz="12" w:space="0" w:color="auto"/>
              <w:right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Project Secondary Impacts</w:t>
            </w:r>
          </w:p>
        </w:tc>
      </w:tr>
      <w:tr w:rsidR="005D2DB7" w:rsidRPr="00832A67" w:rsidTr="003237BB">
        <w:trPr>
          <w:trHeight w:val="314"/>
          <w:jc w:val="center"/>
        </w:trPr>
        <w:tc>
          <w:tcPr>
            <w:tcW w:w="2907" w:type="dxa"/>
            <w:tcBorders>
              <w:top w:val="single" w:sz="12" w:space="0" w:color="auto"/>
              <w:left w:val="single" w:sz="12" w:space="0" w:color="auto"/>
              <w:bottom w:val="nil"/>
              <w:right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24-hour PM</w:t>
            </w:r>
            <w:r w:rsidRPr="002B07F8">
              <w:rPr>
                <w:b/>
                <w:color w:val="000000"/>
                <w:vertAlign w:val="subscript"/>
              </w:rPr>
              <w:t>2.5</w:t>
            </w:r>
            <w:r w:rsidRPr="002B07F8">
              <w:rPr>
                <w:b/>
                <w:color w:val="000000"/>
              </w:rPr>
              <w:t xml:space="preserve"> MERPs</w:t>
            </w:r>
          </w:p>
        </w:tc>
        <w:tc>
          <w:tcPr>
            <w:tcW w:w="1162" w:type="dxa"/>
            <w:tcBorders>
              <w:top w:val="single" w:sz="12" w:space="0" w:color="auto"/>
              <w:left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2,295</w:t>
            </w:r>
          </w:p>
        </w:tc>
        <w:tc>
          <w:tcPr>
            <w:tcW w:w="1045" w:type="dxa"/>
            <w:tcBorders>
              <w:top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628</w:t>
            </w:r>
          </w:p>
        </w:tc>
        <w:tc>
          <w:tcPr>
            <w:tcW w:w="1505" w:type="dxa"/>
            <w:tcBorders>
              <w:top w:val="single" w:sz="12" w:space="0" w:color="auto"/>
            </w:tcBorders>
            <w:shd w:val="clear" w:color="000000" w:fill="FFFFFF"/>
          </w:tcPr>
          <w:p w:rsidR="005D2DB7" w:rsidRPr="002B07F8" w:rsidRDefault="005D2DB7" w:rsidP="00CF08C0">
            <w:pPr>
              <w:keepNext/>
              <w:jc w:val="center"/>
              <w:rPr>
                <w:color w:val="000000"/>
              </w:rPr>
            </w:pPr>
            <w:r w:rsidRPr="002B07F8">
              <w:rPr>
                <w:color w:val="000000"/>
              </w:rPr>
              <w:t>0.27 µg/m</w:t>
            </w:r>
            <w:r w:rsidRPr="002B07F8">
              <w:rPr>
                <w:color w:val="000000"/>
                <w:vertAlign w:val="superscript"/>
              </w:rPr>
              <w:t>3</w:t>
            </w:r>
          </w:p>
        </w:tc>
        <w:tc>
          <w:tcPr>
            <w:tcW w:w="2558" w:type="dxa"/>
            <w:tcBorders>
              <w:top w:val="single" w:sz="12" w:space="0" w:color="auto"/>
              <w:right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0.054</w:t>
            </w:r>
          </w:p>
        </w:tc>
      </w:tr>
      <w:tr w:rsidR="005D2DB7" w:rsidRPr="00832A67" w:rsidTr="003237BB">
        <w:trPr>
          <w:trHeight w:val="314"/>
          <w:jc w:val="center"/>
        </w:trPr>
        <w:tc>
          <w:tcPr>
            <w:tcW w:w="2907" w:type="dxa"/>
            <w:tcBorders>
              <w:top w:val="nil"/>
              <w:left w:val="single" w:sz="12" w:space="0" w:color="auto"/>
              <w:bottom w:val="nil"/>
              <w:right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Annual PM</w:t>
            </w:r>
            <w:r w:rsidRPr="002B07F8">
              <w:rPr>
                <w:b/>
                <w:color w:val="000000"/>
                <w:vertAlign w:val="subscript"/>
              </w:rPr>
              <w:t>2.5</w:t>
            </w:r>
            <w:r w:rsidRPr="002B07F8">
              <w:rPr>
                <w:b/>
                <w:color w:val="000000"/>
              </w:rPr>
              <w:t xml:space="preserve"> MERPs</w:t>
            </w:r>
          </w:p>
        </w:tc>
        <w:tc>
          <w:tcPr>
            <w:tcW w:w="1162" w:type="dxa"/>
            <w:tcBorders>
              <w:left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10,144</w:t>
            </w:r>
          </w:p>
        </w:tc>
        <w:tc>
          <w:tcPr>
            <w:tcW w:w="1045" w:type="dxa"/>
            <w:shd w:val="clear" w:color="000000" w:fill="FFFFFF"/>
            <w:noWrap/>
            <w:vAlign w:val="center"/>
            <w:hideMark/>
          </w:tcPr>
          <w:p w:rsidR="005D2DB7" w:rsidRPr="002B07F8" w:rsidRDefault="005D2DB7" w:rsidP="00CF08C0">
            <w:pPr>
              <w:keepNext/>
              <w:jc w:val="center"/>
              <w:rPr>
                <w:color w:val="000000"/>
              </w:rPr>
            </w:pPr>
            <w:r w:rsidRPr="002B07F8">
              <w:rPr>
                <w:color w:val="000000"/>
              </w:rPr>
              <w:t>4,013</w:t>
            </w:r>
          </w:p>
        </w:tc>
        <w:tc>
          <w:tcPr>
            <w:tcW w:w="1505" w:type="dxa"/>
            <w:shd w:val="clear" w:color="000000" w:fill="FFFFFF"/>
          </w:tcPr>
          <w:p w:rsidR="005D2DB7" w:rsidRPr="002B07F8" w:rsidRDefault="005D2DB7" w:rsidP="00CF08C0">
            <w:pPr>
              <w:keepNext/>
              <w:jc w:val="center"/>
              <w:rPr>
                <w:color w:val="000000"/>
              </w:rPr>
            </w:pPr>
            <w:r w:rsidRPr="002B07F8">
              <w:rPr>
                <w:color w:val="000000"/>
              </w:rPr>
              <w:t>0.05 µg/m</w:t>
            </w:r>
            <w:r w:rsidRPr="002B07F8">
              <w:rPr>
                <w:color w:val="000000"/>
                <w:vertAlign w:val="superscript"/>
              </w:rPr>
              <w:t>3</w:t>
            </w:r>
          </w:p>
        </w:tc>
        <w:tc>
          <w:tcPr>
            <w:tcW w:w="2558" w:type="dxa"/>
            <w:tcBorders>
              <w:right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0.002</w:t>
            </w:r>
          </w:p>
        </w:tc>
      </w:tr>
      <w:tr w:rsidR="005D2DB7" w:rsidRPr="00832A67" w:rsidTr="003237BB">
        <w:trPr>
          <w:trHeight w:val="314"/>
          <w:jc w:val="center"/>
        </w:trPr>
        <w:tc>
          <w:tcPr>
            <w:tcW w:w="2907" w:type="dxa"/>
            <w:tcBorders>
              <w:top w:val="nil"/>
              <w:left w:val="single" w:sz="12" w:space="0" w:color="auto"/>
              <w:bottom w:val="single" w:sz="12" w:space="0" w:color="auto"/>
              <w:right w:val="single" w:sz="12" w:space="0" w:color="auto"/>
            </w:tcBorders>
            <w:shd w:val="clear" w:color="auto" w:fill="B8CCE4"/>
            <w:noWrap/>
            <w:vAlign w:val="center"/>
            <w:hideMark/>
          </w:tcPr>
          <w:p w:rsidR="005D2DB7" w:rsidRPr="002B07F8" w:rsidRDefault="005D2DB7" w:rsidP="00CF08C0">
            <w:pPr>
              <w:keepNext/>
              <w:jc w:val="center"/>
              <w:rPr>
                <w:b/>
                <w:color w:val="000000"/>
              </w:rPr>
            </w:pPr>
            <w:r w:rsidRPr="002B07F8">
              <w:rPr>
                <w:b/>
                <w:color w:val="000000"/>
              </w:rPr>
              <w:t>Project Emissions</w:t>
            </w:r>
          </w:p>
        </w:tc>
        <w:tc>
          <w:tcPr>
            <w:tcW w:w="1162" w:type="dxa"/>
            <w:tcBorders>
              <w:left w:val="single" w:sz="12" w:space="0" w:color="auto"/>
              <w:bottom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126.2</w:t>
            </w:r>
          </w:p>
        </w:tc>
        <w:tc>
          <w:tcPr>
            <w:tcW w:w="1045" w:type="dxa"/>
            <w:tcBorders>
              <w:bottom w:val="single" w:sz="12" w:space="0" w:color="auto"/>
            </w:tcBorders>
            <w:shd w:val="clear" w:color="000000" w:fill="FFFFFF"/>
            <w:noWrap/>
            <w:vAlign w:val="center"/>
            <w:hideMark/>
          </w:tcPr>
          <w:p w:rsidR="005D2DB7" w:rsidRPr="002B07F8" w:rsidRDefault="005D2DB7" w:rsidP="00CF08C0">
            <w:pPr>
              <w:keepNext/>
              <w:jc w:val="center"/>
              <w:rPr>
                <w:color w:val="000000"/>
              </w:rPr>
            </w:pPr>
            <w:r w:rsidRPr="002B07F8">
              <w:rPr>
                <w:color w:val="000000"/>
              </w:rPr>
              <w:t>90.9</w:t>
            </w:r>
          </w:p>
        </w:tc>
        <w:tc>
          <w:tcPr>
            <w:tcW w:w="1505" w:type="dxa"/>
            <w:tcBorders>
              <w:bottom w:val="single" w:sz="12" w:space="0" w:color="auto"/>
            </w:tcBorders>
            <w:shd w:val="clear" w:color="000000" w:fill="FFFFFF"/>
          </w:tcPr>
          <w:p w:rsidR="005D2DB7" w:rsidRPr="002B07F8" w:rsidRDefault="005D2DB7" w:rsidP="00CF08C0">
            <w:pPr>
              <w:keepNext/>
              <w:jc w:val="center"/>
              <w:rPr>
                <w:color w:val="000000"/>
              </w:rPr>
            </w:pPr>
            <w:r>
              <w:rPr>
                <w:color w:val="000000"/>
              </w:rPr>
              <w:t>-</w:t>
            </w:r>
          </w:p>
        </w:tc>
        <w:tc>
          <w:tcPr>
            <w:tcW w:w="2558" w:type="dxa"/>
            <w:tcBorders>
              <w:bottom w:val="single" w:sz="12" w:space="0" w:color="auto"/>
              <w:right w:val="single" w:sz="12" w:space="0" w:color="auto"/>
            </w:tcBorders>
            <w:shd w:val="clear" w:color="000000" w:fill="FFFFFF"/>
            <w:noWrap/>
            <w:vAlign w:val="center"/>
            <w:hideMark/>
          </w:tcPr>
          <w:p w:rsidR="005D2DB7" w:rsidRPr="002B07F8" w:rsidRDefault="005D2DB7" w:rsidP="00CF08C0">
            <w:pPr>
              <w:keepNext/>
              <w:jc w:val="center"/>
              <w:rPr>
                <w:color w:val="000000"/>
              </w:rPr>
            </w:pPr>
            <w:r>
              <w:rPr>
                <w:color w:val="000000"/>
              </w:rPr>
              <w:t>-</w:t>
            </w:r>
          </w:p>
        </w:tc>
      </w:tr>
    </w:tbl>
    <w:p w:rsidR="00EF6B10" w:rsidRPr="00EF6B10" w:rsidRDefault="00EF6B10" w:rsidP="00B87465">
      <w:pPr>
        <w:widowControl w:val="0"/>
        <w:spacing w:before="120" w:after="120"/>
        <w:rPr>
          <w:sz w:val="22"/>
          <w:szCs w:val="22"/>
        </w:rPr>
      </w:pPr>
      <w:r w:rsidRPr="00EF6B10">
        <w:rPr>
          <w:sz w:val="22"/>
          <w:szCs w:val="22"/>
        </w:rPr>
        <w:t xml:space="preserve">The results in </w:t>
      </w:r>
      <w:r w:rsidR="009A539A" w:rsidRPr="009A539A">
        <w:rPr>
          <w:rFonts w:ascii="Times New Roman Bold" w:hAnsi="Times New Roman Bold"/>
          <w:b/>
          <w:sz w:val="22"/>
          <w:szCs w:val="22"/>
        </w:rPr>
        <w:fldChar w:fldCharType="begin"/>
      </w:r>
      <w:r w:rsidR="009A539A" w:rsidRPr="009A539A">
        <w:rPr>
          <w:rFonts w:ascii="Times New Roman Bold" w:hAnsi="Times New Roman Bold"/>
          <w:b/>
          <w:sz w:val="22"/>
          <w:szCs w:val="22"/>
        </w:rPr>
        <w:instrText xml:space="preserve"> REF _Ref513626751 \h </w:instrText>
      </w:r>
      <w:r w:rsidR="009A539A">
        <w:rPr>
          <w:rFonts w:ascii="Times New Roman Bold" w:hAnsi="Times New Roman Bold"/>
          <w:b/>
          <w:sz w:val="22"/>
          <w:szCs w:val="22"/>
        </w:rPr>
        <w:instrText xml:space="preserve"> \* MERGEFORMAT </w:instrText>
      </w:r>
      <w:r w:rsidR="009A539A" w:rsidRPr="009A539A">
        <w:rPr>
          <w:rFonts w:ascii="Times New Roman Bold" w:hAnsi="Times New Roman Bold"/>
          <w:b/>
          <w:sz w:val="22"/>
          <w:szCs w:val="22"/>
        </w:rPr>
      </w:r>
      <w:r w:rsidR="009A539A" w:rsidRPr="009A539A">
        <w:rPr>
          <w:rFonts w:ascii="Times New Roman Bold" w:hAnsi="Times New Roman Bold"/>
          <w:b/>
          <w:sz w:val="22"/>
          <w:szCs w:val="22"/>
        </w:rPr>
        <w:fldChar w:fldCharType="separate"/>
      </w:r>
      <w:r w:rsidR="009A539A" w:rsidRPr="009A539A">
        <w:rPr>
          <w:rFonts w:ascii="Times New Roman Bold" w:hAnsi="Times New Roman Bold"/>
          <w:b/>
          <w:sz w:val="22"/>
        </w:rPr>
        <w:t xml:space="preserve">Table </w:t>
      </w:r>
      <w:r w:rsidR="009A539A" w:rsidRPr="009A539A">
        <w:rPr>
          <w:rFonts w:ascii="Times New Roman Bold" w:hAnsi="Times New Roman Bold"/>
          <w:b/>
          <w:noProof/>
          <w:sz w:val="22"/>
        </w:rPr>
        <w:t>25</w:t>
      </w:r>
      <w:r w:rsidR="009A539A" w:rsidRPr="009A539A">
        <w:rPr>
          <w:rFonts w:ascii="Times New Roman Bold" w:hAnsi="Times New Roman Bold"/>
          <w:b/>
          <w:sz w:val="22"/>
          <w:szCs w:val="22"/>
        </w:rPr>
        <w:fldChar w:fldCharType="end"/>
      </w:r>
      <w:r w:rsidR="009A539A">
        <w:rPr>
          <w:sz w:val="22"/>
          <w:szCs w:val="22"/>
        </w:rPr>
        <w:t xml:space="preserve"> </w:t>
      </w:r>
      <w:r w:rsidRPr="00EF6B10">
        <w:rPr>
          <w:sz w:val="22"/>
          <w:szCs w:val="22"/>
        </w:rPr>
        <w:t>show that the maximum impacts are below all SILs; therefore, a cumulative Class I increment analysis is not required.</w:t>
      </w:r>
    </w:p>
    <w:p w:rsidR="00EF6B10" w:rsidRPr="009A539A" w:rsidRDefault="009A539A" w:rsidP="009A539A">
      <w:pPr>
        <w:pStyle w:val="Caption"/>
        <w:spacing w:before="0"/>
        <w:jc w:val="center"/>
        <w:rPr>
          <w:szCs w:val="22"/>
        </w:rPr>
      </w:pPr>
      <w:bookmarkStart w:id="88" w:name="_Ref513626751"/>
      <w:r w:rsidRPr="009A539A">
        <w:t xml:space="preserve">Table </w:t>
      </w:r>
      <w:fldSimple w:instr=" SEQ Table \* ARABIC ">
        <w:r w:rsidR="007204D0">
          <w:rPr>
            <w:noProof/>
          </w:rPr>
          <w:t>25</w:t>
        </w:r>
      </w:fldSimple>
      <w:bookmarkEnd w:id="88"/>
      <w:r w:rsidRPr="009A539A">
        <w:t xml:space="preserve"> - </w:t>
      </w:r>
      <w:r w:rsidR="00EF6B10" w:rsidRPr="009A539A">
        <w:rPr>
          <w:caps w:val="0"/>
          <w:szCs w:val="22"/>
        </w:rPr>
        <w:t>MAXIMUM</w:t>
      </w:r>
      <w:r w:rsidR="00EF6B10" w:rsidRPr="009A539A">
        <w:rPr>
          <w:szCs w:val="22"/>
        </w:rPr>
        <w:t xml:space="preserve"> PREDICTED AIR QUALITY IMPACTS 28 KM FROM THE PROJECT SITE COMPARED TO THE CLASS I SIL.</w:t>
      </w:r>
    </w:p>
    <w:tbl>
      <w:tblPr>
        <w:tblW w:w="4566" w:type="pct"/>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038"/>
        <w:gridCol w:w="1455"/>
        <w:gridCol w:w="1292"/>
        <w:gridCol w:w="1427"/>
        <w:gridCol w:w="1250"/>
        <w:gridCol w:w="1339"/>
        <w:gridCol w:w="1245"/>
      </w:tblGrid>
      <w:tr w:rsidR="00FB5A93" w:rsidRPr="004A2248" w:rsidTr="00702728">
        <w:trPr>
          <w:cantSplit/>
          <w:trHeight w:val="722"/>
          <w:tblHeader/>
          <w:jc w:val="center"/>
        </w:trPr>
        <w:tc>
          <w:tcPr>
            <w:tcW w:w="574" w:type="pct"/>
            <w:tcBorders>
              <w:top w:val="single" w:sz="12" w:space="0" w:color="auto"/>
              <w:left w:val="single" w:sz="12" w:space="0" w:color="auto"/>
              <w:bottom w:val="single" w:sz="12" w:space="0" w:color="auto"/>
              <w:right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sidRPr="005A6793">
              <w:rPr>
                <w:b/>
              </w:rPr>
              <w:t>Pollutant</w:t>
            </w:r>
          </w:p>
        </w:tc>
        <w:tc>
          <w:tcPr>
            <w:tcW w:w="804" w:type="pct"/>
            <w:tcBorders>
              <w:top w:val="single" w:sz="12" w:space="0" w:color="auto"/>
              <w:left w:val="single" w:sz="12" w:space="0" w:color="auto"/>
              <w:bottom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sidRPr="005A6793">
              <w:rPr>
                <w:b/>
              </w:rPr>
              <w:t>Averaging Time</w:t>
            </w:r>
          </w:p>
        </w:tc>
        <w:tc>
          <w:tcPr>
            <w:tcW w:w="714" w:type="pct"/>
            <w:tcBorders>
              <w:top w:val="single" w:sz="12" w:space="0" w:color="auto"/>
              <w:bottom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sidRPr="00FF09C8">
              <w:rPr>
                <w:b/>
              </w:rPr>
              <w:t>Max Impact (μg/m</w:t>
            </w:r>
            <w:r w:rsidRPr="00FF09C8">
              <w:rPr>
                <w:b/>
                <w:vertAlign w:val="superscript"/>
              </w:rPr>
              <w:t>3</w:t>
            </w:r>
            <w:r w:rsidRPr="00FF09C8">
              <w:rPr>
                <w:b/>
              </w:rPr>
              <w:t>)</w:t>
            </w:r>
          </w:p>
        </w:tc>
        <w:tc>
          <w:tcPr>
            <w:tcW w:w="789" w:type="pct"/>
            <w:tcBorders>
              <w:top w:val="single" w:sz="12" w:space="0" w:color="auto"/>
              <w:bottom w:val="single" w:sz="12" w:space="0" w:color="auto"/>
            </w:tcBorders>
            <w:shd w:val="clear" w:color="auto" w:fill="B8CCE4"/>
            <w:vAlign w:val="center"/>
          </w:tcPr>
          <w:p w:rsidR="00F3149E" w:rsidRPr="005A6793" w:rsidRDefault="00F3149E" w:rsidP="00FB5A93">
            <w:pPr>
              <w:keepNext/>
              <w:autoSpaceDE w:val="0"/>
              <w:autoSpaceDN w:val="0"/>
              <w:adjustRightInd w:val="0"/>
              <w:jc w:val="center"/>
              <w:rPr>
                <w:b/>
              </w:rPr>
            </w:pPr>
            <w:r>
              <w:rPr>
                <w:b/>
              </w:rPr>
              <w:t>Secondary PM</w:t>
            </w:r>
            <w:r w:rsidRPr="00C80ACC">
              <w:rPr>
                <w:b/>
                <w:vertAlign w:val="subscript"/>
              </w:rPr>
              <w:t>2.5</w:t>
            </w:r>
            <w:r>
              <w:rPr>
                <w:b/>
              </w:rPr>
              <w:t xml:space="preserve"> (</w:t>
            </w:r>
            <w:r w:rsidRPr="00FF09C8">
              <w:rPr>
                <w:b/>
              </w:rPr>
              <w:t>μg/m</w:t>
            </w:r>
            <w:r w:rsidRPr="00FF09C8">
              <w:rPr>
                <w:b/>
                <w:vertAlign w:val="superscript"/>
              </w:rPr>
              <w:t>3</w:t>
            </w:r>
            <w:r>
              <w:rPr>
                <w:b/>
              </w:rPr>
              <w:t>)</w:t>
            </w:r>
          </w:p>
        </w:tc>
        <w:tc>
          <w:tcPr>
            <w:tcW w:w="691" w:type="pct"/>
            <w:tcBorders>
              <w:top w:val="single" w:sz="12" w:space="0" w:color="auto"/>
              <w:bottom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sidRPr="00FF09C8">
              <w:rPr>
                <w:b/>
              </w:rPr>
              <w:t>SIL (μg/m</w:t>
            </w:r>
            <w:r w:rsidRPr="00FF09C8">
              <w:rPr>
                <w:b/>
                <w:vertAlign w:val="superscript"/>
              </w:rPr>
              <w:t>3</w:t>
            </w:r>
            <w:r w:rsidRPr="00FF09C8">
              <w:rPr>
                <w:b/>
              </w:rPr>
              <w:t>)</w:t>
            </w:r>
          </w:p>
        </w:tc>
        <w:tc>
          <w:tcPr>
            <w:tcW w:w="740" w:type="pct"/>
            <w:tcBorders>
              <w:top w:val="single" w:sz="12" w:space="0" w:color="auto"/>
              <w:bottom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Pr>
                <w:b/>
              </w:rPr>
              <w:t>Percent of SIL</w:t>
            </w:r>
          </w:p>
        </w:tc>
        <w:tc>
          <w:tcPr>
            <w:tcW w:w="688" w:type="pct"/>
            <w:tcBorders>
              <w:top w:val="single" w:sz="12" w:space="0" w:color="auto"/>
              <w:bottom w:val="single" w:sz="12" w:space="0" w:color="auto"/>
              <w:right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sidRPr="00FF09C8">
              <w:rPr>
                <w:b/>
              </w:rPr>
              <w:t>Significant Impact?</w:t>
            </w:r>
          </w:p>
        </w:tc>
      </w:tr>
      <w:tr w:rsidR="00FB5A93" w:rsidRPr="004A2248" w:rsidTr="00702728">
        <w:trPr>
          <w:cantSplit/>
          <w:trHeight w:val="35"/>
          <w:jc w:val="center"/>
        </w:trPr>
        <w:tc>
          <w:tcPr>
            <w:tcW w:w="574" w:type="pct"/>
            <w:vMerge w:val="restart"/>
            <w:tcBorders>
              <w:top w:val="single" w:sz="12" w:space="0" w:color="auto"/>
              <w:left w:val="single" w:sz="12" w:space="0" w:color="auto"/>
              <w:right w:val="single" w:sz="12" w:space="0" w:color="auto"/>
            </w:tcBorders>
            <w:shd w:val="clear" w:color="auto" w:fill="B8CCE4"/>
            <w:vAlign w:val="center"/>
          </w:tcPr>
          <w:p w:rsidR="00F3149E" w:rsidRPr="005A6793" w:rsidRDefault="00F3149E" w:rsidP="00CF08C0">
            <w:pPr>
              <w:keepNext/>
              <w:autoSpaceDE w:val="0"/>
              <w:autoSpaceDN w:val="0"/>
              <w:adjustRightInd w:val="0"/>
              <w:jc w:val="center"/>
              <w:rPr>
                <w:b/>
              </w:rPr>
            </w:pPr>
            <w:r>
              <w:rPr>
                <w:b/>
              </w:rPr>
              <w:t>PM</w:t>
            </w:r>
            <w:r w:rsidRPr="00DC7B30">
              <w:rPr>
                <w:b/>
                <w:vertAlign w:val="subscript"/>
              </w:rPr>
              <w:t>2.5</w:t>
            </w:r>
          </w:p>
        </w:tc>
        <w:tc>
          <w:tcPr>
            <w:tcW w:w="804" w:type="pct"/>
            <w:tcBorders>
              <w:top w:val="single" w:sz="12" w:space="0" w:color="auto"/>
              <w:left w:val="single" w:sz="12" w:space="0" w:color="auto"/>
            </w:tcBorders>
            <w:vAlign w:val="center"/>
          </w:tcPr>
          <w:p w:rsidR="00F3149E" w:rsidRPr="005A6793" w:rsidRDefault="00F3149E" w:rsidP="00CF08C0">
            <w:pPr>
              <w:keepNext/>
              <w:autoSpaceDE w:val="0"/>
              <w:autoSpaceDN w:val="0"/>
              <w:adjustRightInd w:val="0"/>
              <w:spacing w:before="20" w:after="20"/>
              <w:jc w:val="center"/>
            </w:pPr>
            <w:r w:rsidRPr="005A6793">
              <w:t>Annual</w:t>
            </w:r>
          </w:p>
        </w:tc>
        <w:tc>
          <w:tcPr>
            <w:tcW w:w="714" w:type="pct"/>
            <w:tcBorders>
              <w:top w:val="single" w:sz="12" w:space="0" w:color="auto"/>
            </w:tcBorders>
            <w:vAlign w:val="center"/>
          </w:tcPr>
          <w:p w:rsidR="00F3149E" w:rsidRDefault="00F3149E" w:rsidP="00CF08C0">
            <w:pPr>
              <w:keepNext/>
              <w:autoSpaceDE w:val="0"/>
              <w:autoSpaceDN w:val="0"/>
              <w:adjustRightInd w:val="0"/>
              <w:spacing w:before="20" w:after="20"/>
              <w:jc w:val="center"/>
            </w:pPr>
            <w:r>
              <w:t>0.004</w:t>
            </w:r>
          </w:p>
        </w:tc>
        <w:tc>
          <w:tcPr>
            <w:tcW w:w="789" w:type="pct"/>
            <w:tcBorders>
              <w:top w:val="single" w:sz="12" w:space="0" w:color="auto"/>
            </w:tcBorders>
          </w:tcPr>
          <w:p w:rsidR="00F3149E" w:rsidRDefault="00F3149E" w:rsidP="00CF08C0">
            <w:pPr>
              <w:keepNext/>
              <w:autoSpaceDE w:val="0"/>
              <w:autoSpaceDN w:val="0"/>
              <w:adjustRightInd w:val="0"/>
              <w:spacing w:before="20" w:after="20"/>
              <w:jc w:val="center"/>
            </w:pPr>
            <w:r>
              <w:t>0.002</w:t>
            </w:r>
          </w:p>
        </w:tc>
        <w:tc>
          <w:tcPr>
            <w:tcW w:w="691" w:type="pct"/>
            <w:tcBorders>
              <w:top w:val="single" w:sz="12" w:space="0" w:color="auto"/>
            </w:tcBorders>
            <w:vAlign w:val="center"/>
          </w:tcPr>
          <w:p w:rsidR="00F3149E" w:rsidRPr="005A6793" w:rsidRDefault="00F3149E" w:rsidP="00CF08C0">
            <w:pPr>
              <w:keepNext/>
              <w:autoSpaceDE w:val="0"/>
              <w:autoSpaceDN w:val="0"/>
              <w:adjustRightInd w:val="0"/>
              <w:spacing w:before="20" w:after="20"/>
              <w:jc w:val="center"/>
            </w:pPr>
            <w:r>
              <w:t>0.05</w:t>
            </w:r>
          </w:p>
        </w:tc>
        <w:tc>
          <w:tcPr>
            <w:tcW w:w="740" w:type="pct"/>
            <w:tcBorders>
              <w:top w:val="single" w:sz="12" w:space="0" w:color="auto"/>
            </w:tcBorders>
          </w:tcPr>
          <w:p w:rsidR="00F3149E" w:rsidRDefault="00F3149E" w:rsidP="00CF08C0">
            <w:pPr>
              <w:keepNext/>
              <w:autoSpaceDE w:val="0"/>
              <w:autoSpaceDN w:val="0"/>
              <w:adjustRightInd w:val="0"/>
              <w:spacing w:before="20" w:after="20"/>
              <w:jc w:val="center"/>
            </w:pPr>
            <w:r>
              <w:t>12%</w:t>
            </w:r>
          </w:p>
        </w:tc>
        <w:tc>
          <w:tcPr>
            <w:tcW w:w="688" w:type="pct"/>
            <w:tcBorders>
              <w:top w:val="single" w:sz="12" w:space="0" w:color="auto"/>
              <w:right w:val="single" w:sz="12" w:space="0" w:color="auto"/>
            </w:tcBorders>
            <w:vAlign w:val="center"/>
          </w:tcPr>
          <w:p w:rsidR="00F3149E" w:rsidRPr="005A6793" w:rsidRDefault="00F3149E" w:rsidP="00CF08C0">
            <w:pPr>
              <w:keepNext/>
              <w:autoSpaceDE w:val="0"/>
              <w:autoSpaceDN w:val="0"/>
              <w:adjustRightInd w:val="0"/>
              <w:spacing w:before="20" w:after="20"/>
              <w:jc w:val="center"/>
            </w:pPr>
            <w:r>
              <w:t>No</w:t>
            </w:r>
          </w:p>
        </w:tc>
      </w:tr>
      <w:tr w:rsidR="00FB5A93" w:rsidRPr="004A2248" w:rsidTr="00702728">
        <w:trPr>
          <w:cantSplit/>
          <w:trHeight w:val="35"/>
          <w:jc w:val="center"/>
        </w:trPr>
        <w:tc>
          <w:tcPr>
            <w:tcW w:w="574" w:type="pct"/>
            <w:vMerge/>
            <w:tcBorders>
              <w:left w:val="single" w:sz="12" w:space="0" w:color="auto"/>
              <w:right w:val="single" w:sz="12" w:space="0" w:color="auto"/>
            </w:tcBorders>
            <w:shd w:val="clear" w:color="auto" w:fill="B8CCE4"/>
          </w:tcPr>
          <w:p w:rsidR="00F3149E" w:rsidRDefault="00F3149E" w:rsidP="00CF08C0">
            <w:pPr>
              <w:keepNext/>
              <w:autoSpaceDE w:val="0"/>
              <w:autoSpaceDN w:val="0"/>
              <w:adjustRightInd w:val="0"/>
              <w:jc w:val="center"/>
              <w:rPr>
                <w:b/>
              </w:rPr>
            </w:pPr>
          </w:p>
        </w:tc>
        <w:tc>
          <w:tcPr>
            <w:tcW w:w="804" w:type="pct"/>
            <w:tcBorders>
              <w:left w:val="single" w:sz="12" w:space="0" w:color="auto"/>
            </w:tcBorders>
            <w:vAlign w:val="center"/>
          </w:tcPr>
          <w:p w:rsidR="00F3149E" w:rsidRPr="005A6793" w:rsidRDefault="00F3149E" w:rsidP="00CF08C0">
            <w:pPr>
              <w:keepNext/>
              <w:autoSpaceDE w:val="0"/>
              <w:autoSpaceDN w:val="0"/>
              <w:adjustRightInd w:val="0"/>
              <w:spacing w:before="20" w:after="20"/>
              <w:jc w:val="center"/>
            </w:pPr>
            <w:r>
              <w:t>24-Hour</w:t>
            </w:r>
          </w:p>
        </w:tc>
        <w:tc>
          <w:tcPr>
            <w:tcW w:w="714" w:type="pct"/>
            <w:vAlign w:val="center"/>
          </w:tcPr>
          <w:p w:rsidR="00F3149E" w:rsidRDefault="00F3149E" w:rsidP="00CF08C0">
            <w:pPr>
              <w:keepNext/>
              <w:autoSpaceDE w:val="0"/>
              <w:autoSpaceDN w:val="0"/>
              <w:adjustRightInd w:val="0"/>
              <w:spacing w:before="20" w:after="20"/>
              <w:jc w:val="center"/>
            </w:pPr>
            <w:r>
              <w:t>0.05</w:t>
            </w:r>
          </w:p>
        </w:tc>
        <w:tc>
          <w:tcPr>
            <w:tcW w:w="789" w:type="pct"/>
          </w:tcPr>
          <w:p w:rsidR="00F3149E" w:rsidRDefault="00F3149E" w:rsidP="00CF08C0">
            <w:pPr>
              <w:keepNext/>
              <w:autoSpaceDE w:val="0"/>
              <w:autoSpaceDN w:val="0"/>
              <w:adjustRightInd w:val="0"/>
              <w:spacing w:before="20" w:after="20"/>
              <w:jc w:val="center"/>
            </w:pPr>
            <w:r>
              <w:t>0.054</w:t>
            </w:r>
          </w:p>
        </w:tc>
        <w:tc>
          <w:tcPr>
            <w:tcW w:w="691" w:type="pct"/>
            <w:vAlign w:val="center"/>
          </w:tcPr>
          <w:p w:rsidR="00F3149E" w:rsidRPr="005A6793" w:rsidRDefault="00F3149E" w:rsidP="00CF08C0">
            <w:pPr>
              <w:keepNext/>
              <w:autoSpaceDE w:val="0"/>
              <w:autoSpaceDN w:val="0"/>
              <w:adjustRightInd w:val="0"/>
              <w:spacing w:before="20" w:after="20"/>
              <w:jc w:val="center"/>
            </w:pPr>
            <w:r>
              <w:t>0.27</w:t>
            </w:r>
          </w:p>
        </w:tc>
        <w:tc>
          <w:tcPr>
            <w:tcW w:w="740" w:type="pct"/>
          </w:tcPr>
          <w:p w:rsidR="00F3149E" w:rsidRDefault="00F3149E" w:rsidP="00CF08C0">
            <w:pPr>
              <w:keepNext/>
              <w:autoSpaceDE w:val="0"/>
              <w:autoSpaceDN w:val="0"/>
              <w:adjustRightInd w:val="0"/>
              <w:spacing w:before="20" w:after="20"/>
              <w:jc w:val="center"/>
            </w:pPr>
            <w:r>
              <w:t>39%</w:t>
            </w:r>
          </w:p>
        </w:tc>
        <w:tc>
          <w:tcPr>
            <w:tcW w:w="688" w:type="pct"/>
            <w:tcBorders>
              <w:right w:val="single" w:sz="12" w:space="0" w:color="auto"/>
            </w:tcBorders>
            <w:vAlign w:val="center"/>
          </w:tcPr>
          <w:p w:rsidR="00F3149E" w:rsidRPr="005A6793" w:rsidRDefault="00F3149E" w:rsidP="00CF08C0">
            <w:pPr>
              <w:keepNext/>
              <w:autoSpaceDE w:val="0"/>
              <w:autoSpaceDN w:val="0"/>
              <w:adjustRightInd w:val="0"/>
              <w:spacing w:before="20" w:after="20"/>
              <w:jc w:val="center"/>
            </w:pPr>
            <w:r>
              <w:t>No</w:t>
            </w:r>
          </w:p>
        </w:tc>
      </w:tr>
      <w:tr w:rsidR="00FB5A93" w:rsidRPr="004A2248" w:rsidTr="00702728">
        <w:trPr>
          <w:cantSplit/>
          <w:trHeight w:val="35"/>
          <w:jc w:val="center"/>
        </w:trPr>
        <w:tc>
          <w:tcPr>
            <w:tcW w:w="574" w:type="pct"/>
            <w:vMerge w:val="restart"/>
            <w:tcBorders>
              <w:left w:val="single" w:sz="12" w:space="0" w:color="auto"/>
              <w:right w:val="single" w:sz="12" w:space="0" w:color="auto"/>
            </w:tcBorders>
            <w:shd w:val="clear" w:color="auto" w:fill="B8CCE4"/>
            <w:vAlign w:val="center"/>
          </w:tcPr>
          <w:p w:rsidR="00F3149E" w:rsidRDefault="00F3149E" w:rsidP="00CF08C0">
            <w:pPr>
              <w:keepNext/>
              <w:autoSpaceDE w:val="0"/>
              <w:autoSpaceDN w:val="0"/>
              <w:adjustRightInd w:val="0"/>
              <w:jc w:val="center"/>
              <w:rPr>
                <w:b/>
              </w:rPr>
            </w:pPr>
            <w:r>
              <w:rPr>
                <w:b/>
              </w:rPr>
              <w:t>PM</w:t>
            </w:r>
            <w:r w:rsidRPr="00DC7B30">
              <w:rPr>
                <w:b/>
                <w:vertAlign w:val="subscript"/>
              </w:rPr>
              <w:t>10</w:t>
            </w:r>
          </w:p>
        </w:tc>
        <w:tc>
          <w:tcPr>
            <w:tcW w:w="804" w:type="pct"/>
            <w:tcBorders>
              <w:left w:val="single" w:sz="12" w:space="0" w:color="auto"/>
            </w:tcBorders>
            <w:vAlign w:val="center"/>
          </w:tcPr>
          <w:p w:rsidR="00F3149E" w:rsidRPr="005A6793" w:rsidRDefault="00F3149E" w:rsidP="00CF08C0">
            <w:pPr>
              <w:keepNext/>
              <w:autoSpaceDE w:val="0"/>
              <w:autoSpaceDN w:val="0"/>
              <w:adjustRightInd w:val="0"/>
              <w:spacing w:before="20" w:after="20"/>
              <w:jc w:val="center"/>
            </w:pPr>
            <w:r>
              <w:t>Annual</w:t>
            </w:r>
          </w:p>
        </w:tc>
        <w:tc>
          <w:tcPr>
            <w:tcW w:w="714" w:type="pct"/>
            <w:vAlign w:val="center"/>
          </w:tcPr>
          <w:p w:rsidR="00F3149E" w:rsidRDefault="00F3149E" w:rsidP="00CF08C0">
            <w:pPr>
              <w:keepNext/>
              <w:autoSpaceDE w:val="0"/>
              <w:autoSpaceDN w:val="0"/>
              <w:adjustRightInd w:val="0"/>
              <w:spacing w:before="20" w:after="20"/>
              <w:jc w:val="center"/>
            </w:pPr>
            <w:r>
              <w:t>0.005</w:t>
            </w:r>
          </w:p>
        </w:tc>
        <w:tc>
          <w:tcPr>
            <w:tcW w:w="789" w:type="pct"/>
          </w:tcPr>
          <w:p w:rsidR="00F3149E" w:rsidRDefault="00F3149E" w:rsidP="00CF08C0">
            <w:pPr>
              <w:keepNext/>
              <w:autoSpaceDE w:val="0"/>
              <w:autoSpaceDN w:val="0"/>
              <w:adjustRightInd w:val="0"/>
              <w:spacing w:before="20" w:after="20"/>
              <w:jc w:val="center"/>
            </w:pPr>
            <w:r>
              <w:t>-</w:t>
            </w:r>
          </w:p>
        </w:tc>
        <w:tc>
          <w:tcPr>
            <w:tcW w:w="691" w:type="pct"/>
            <w:vAlign w:val="center"/>
          </w:tcPr>
          <w:p w:rsidR="00F3149E" w:rsidRPr="005A6793" w:rsidRDefault="00F3149E" w:rsidP="00CF08C0">
            <w:pPr>
              <w:keepNext/>
              <w:autoSpaceDE w:val="0"/>
              <w:autoSpaceDN w:val="0"/>
              <w:adjustRightInd w:val="0"/>
              <w:spacing w:before="20" w:after="20"/>
              <w:jc w:val="center"/>
            </w:pPr>
            <w:r>
              <w:t>0.2</w:t>
            </w:r>
          </w:p>
        </w:tc>
        <w:tc>
          <w:tcPr>
            <w:tcW w:w="740" w:type="pct"/>
          </w:tcPr>
          <w:p w:rsidR="00F3149E" w:rsidRDefault="00F3149E" w:rsidP="00CF08C0">
            <w:pPr>
              <w:keepNext/>
              <w:autoSpaceDE w:val="0"/>
              <w:autoSpaceDN w:val="0"/>
              <w:adjustRightInd w:val="0"/>
              <w:spacing w:before="20" w:after="20"/>
              <w:jc w:val="center"/>
            </w:pPr>
            <w:r>
              <w:t>3%</w:t>
            </w:r>
          </w:p>
        </w:tc>
        <w:tc>
          <w:tcPr>
            <w:tcW w:w="688" w:type="pct"/>
            <w:tcBorders>
              <w:right w:val="single" w:sz="12" w:space="0" w:color="auto"/>
            </w:tcBorders>
            <w:vAlign w:val="center"/>
          </w:tcPr>
          <w:p w:rsidR="00F3149E" w:rsidRPr="005A6793" w:rsidRDefault="00F3149E" w:rsidP="00CF08C0">
            <w:pPr>
              <w:keepNext/>
              <w:autoSpaceDE w:val="0"/>
              <w:autoSpaceDN w:val="0"/>
              <w:adjustRightInd w:val="0"/>
              <w:spacing w:before="20" w:after="20"/>
              <w:jc w:val="center"/>
            </w:pPr>
            <w:r>
              <w:t>No</w:t>
            </w:r>
          </w:p>
        </w:tc>
      </w:tr>
      <w:tr w:rsidR="003A197A" w:rsidRPr="004A2248" w:rsidTr="00702728">
        <w:trPr>
          <w:cantSplit/>
          <w:trHeight w:val="35"/>
          <w:jc w:val="center"/>
        </w:trPr>
        <w:tc>
          <w:tcPr>
            <w:tcW w:w="574" w:type="pct"/>
            <w:vMerge/>
            <w:tcBorders>
              <w:left w:val="single" w:sz="12" w:space="0" w:color="auto"/>
              <w:right w:val="single" w:sz="12" w:space="0" w:color="auto"/>
            </w:tcBorders>
            <w:shd w:val="clear" w:color="auto" w:fill="B8CCE4"/>
          </w:tcPr>
          <w:p w:rsidR="00F3149E" w:rsidRDefault="00F3149E" w:rsidP="00CF08C0">
            <w:pPr>
              <w:keepNext/>
              <w:autoSpaceDE w:val="0"/>
              <w:autoSpaceDN w:val="0"/>
              <w:adjustRightInd w:val="0"/>
              <w:jc w:val="center"/>
              <w:rPr>
                <w:b/>
              </w:rPr>
            </w:pPr>
          </w:p>
        </w:tc>
        <w:tc>
          <w:tcPr>
            <w:tcW w:w="804" w:type="pct"/>
            <w:tcBorders>
              <w:left w:val="single" w:sz="12" w:space="0" w:color="auto"/>
            </w:tcBorders>
            <w:vAlign w:val="center"/>
          </w:tcPr>
          <w:p w:rsidR="00F3149E" w:rsidRPr="005A6793" w:rsidRDefault="00F3149E" w:rsidP="00CF08C0">
            <w:pPr>
              <w:keepNext/>
              <w:autoSpaceDE w:val="0"/>
              <w:autoSpaceDN w:val="0"/>
              <w:adjustRightInd w:val="0"/>
              <w:spacing w:before="20" w:after="20"/>
              <w:jc w:val="center"/>
            </w:pPr>
            <w:r>
              <w:t>24-Hour</w:t>
            </w:r>
          </w:p>
        </w:tc>
        <w:tc>
          <w:tcPr>
            <w:tcW w:w="714" w:type="pct"/>
            <w:vAlign w:val="center"/>
          </w:tcPr>
          <w:p w:rsidR="00F3149E" w:rsidRDefault="00F3149E" w:rsidP="00CF08C0">
            <w:pPr>
              <w:keepNext/>
              <w:autoSpaceDE w:val="0"/>
              <w:autoSpaceDN w:val="0"/>
              <w:adjustRightInd w:val="0"/>
              <w:spacing w:before="20" w:after="20"/>
              <w:jc w:val="center"/>
            </w:pPr>
            <w:r>
              <w:t>0.06</w:t>
            </w:r>
          </w:p>
        </w:tc>
        <w:tc>
          <w:tcPr>
            <w:tcW w:w="789" w:type="pct"/>
          </w:tcPr>
          <w:p w:rsidR="00F3149E" w:rsidRDefault="00F3149E" w:rsidP="00CF08C0">
            <w:pPr>
              <w:keepNext/>
              <w:autoSpaceDE w:val="0"/>
              <w:autoSpaceDN w:val="0"/>
              <w:adjustRightInd w:val="0"/>
              <w:spacing w:before="20" w:after="20"/>
              <w:jc w:val="center"/>
            </w:pPr>
            <w:r>
              <w:t>-</w:t>
            </w:r>
          </w:p>
        </w:tc>
        <w:tc>
          <w:tcPr>
            <w:tcW w:w="691" w:type="pct"/>
            <w:vAlign w:val="center"/>
          </w:tcPr>
          <w:p w:rsidR="00F3149E" w:rsidRPr="005A6793" w:rsidRDefault="00F3149E" w:rsidP="00CF08C0">
            <w:pPr>
              <w:keepNext/>
              <w:autoSpaceDE w:val="0"/>
              <w:autoSpaceDN w:val="0"/>
              <w:adjustRightInd w:val="0"/>
              <w:spacing w:before="20" w:after="20"/>
              <w:jc w:val="center"/>
            </w:pPr>
            <w:r>
              <w:t>0.3</w:t>
            </w:r>
          </w:p>
        </w:tc>
        <w:tc>
          <w:tcPr>
            <w:tcW w:w="740" w:type="pct"/>
          </w:tcPr>
          <w:p w:rsidR="00F3149E" w:rsidRDefault="00F3149E" w:rsidP="00CF08C0">
            <w:pPr>
              <w:keepNext/>
              <w:autoSpaceDE w:val="0"/>
              <w:autoSpaceDN w:val="0"/>
              <w:adjustRightInd w:val="0"/>
              <w:spacing w:before="20" w:after="20"/>
              <w:jc w:val="center"/>
            </w:pPr>
            <w:r>
              <w:t>20%</w:t>
            </w:r>
          </w:p>
        </w:tc>
        <w:tc>
          <w:tcPr>
            <w:tcW w:w="688" w:type="pct"/>
            <w:tcBorders>
              <w:right w:val="single" w:sz="12" w:space="0" w:color="auto"/>
            </w:tcBorders>
            <w:vAlign w:val="center"/>
          </w:tcPr>
          <w:p w:rsidR="00F3149E" w:rsidRPr="005A6793" w:rsidRDefault="00F3149E" w:rsidP="00CF08C0">
            <w:pPr>
              <w:keepNext/>
              <w:autoSpaceDE w:val="0"/>
              <w:autoSpaceDN w:val="0"/>
              <w:adjustRightInd w:val="0"/>
              <w:spacing w:before="20" w:after="20"/>
              <w:jc w:val="center"/>
            </w:pPr>
            <w:r>
              <w:t>No</w:t>
            </w:r>
          </w:p>
        </w:tc>
      </w:tr>
      <w:tr w:rsidR="003A197A" w:rsidRPr="004A2248" w:rsidTr="00702728">
        <w:trPr>
          <w:cantSplit/>
          <w:trHeight w:val="352"/>
          <w:jc w:val="center"/>
        </w:trPr>
        <w:tc>
          <w:tcPr>
            <w:tcW w:w="574" w:type="pct"/>
            <w:vMerge w:val="restart"/>
            <w:tcBorders>
              <w:left w:val="single" w:sz="12" w:space="0" w:color="auto"/>
              <w:right w:val="single" w:sz="12" w:space="0" w:color="auto"/>
            </w:tcBorders>
            <w:shd w:val="clear" w:color="auto" w:fill="B8CCE4"/>
            <w:vAlign w:val="center"/>
          </w:tcPr>
          <w:p w:rsidR="003A197A" w:rsidRDefault="003A197A" w:rsidP="00FB5A93">
            <w:pPr>
              <w:keepNext/>
              <w:autoSpaceDE w:val="0"/>
              <w:autoSpaceDN w:val="0"/>
              <w:adjustRightInd w:val="0"/>
              <w:jc w:val="center"/>
              <w:rPr>
                <w:b/>
              </w:rPr>
            </w:pPr>
            <w:r>
              <w:rPr>
                <w:b/>
              </w:rPr>
              <w:t>SO</w:t>
            </w:r>
            <w:r w:rsidRPr="003A197A">
              <w:rPr>
                <w:b/>
                <w:vertAlign w:val="subscript"/>
              </w:rPr>
              <w:t>2</w:t>
            </w:r>
          </w:p>
        </w:tc>
        <w:tc>
          <w:tcPr>
            <w:tcW w:w="804" w:type="pct"/>
            <w:tcBorders>
              <w:left w:val="single" w:sz="12" w:space="0" w:color="auto"/>
            </w:tcBorders>
            <w:vAlign w:val="center"/>
          </w:tcPr>
          <w:p w:rsidR="003A197A" w:rsidRDefault="003A197A" w:rsidP="003A197A">
            <w:pPr>
              <w:keepNext/>
              <w:autoSpaceDE w:val="0"/>
              <w:autoSpaceDN w:val="0"/>
              <w:adjustRightInd w:val="0"/>
              <w:spacing w:before="20" w:after="20"/>
              <w:jc w:val="center"/>
            </w:pPr>
            <w:r>
              <w:t>Annual</w:t>
            </w:r>
          </w:p>
        </w:tc>
        <w:tc>
          <w:tcPr>
            <w:tcW w:w="714" w:type="pct"/>
            <w:vAlign w:val="center"/>
          </w:tcPr>
          <w:p w:rsidR="003A197A" w:rsidRDefault="003A197A" w:rsidP="003A197A">
            <w:pPr>
              <w:keepNext/>
              <w:autoSpaceDE w:val="0"/>
              <w:autoSpaceDN w:val="0"/>
              <w:adjustRightInd w:val="0"/>
              <w:spacing w:before="20" w:after="20"/>
              <w:jc w:val="center"/>
            </w:pPr>
            <w:r>
              <w:t>0.01</w:t>
            </w:r>
          </w:p>
        </w:tc>
        <w:tc>
          <w:tcPr>
            <w:tcW w:w="789" w:type="pct"/>
          </w:tcPr>
          <w:p w:rsidR="003A197A" w:rsidRDefault="003A197A" w:rsidP="003A197A">
            <w:pPr>
              <w:keepNext/>
              <w:autoSpaceDE w:val="0"/>
              <w:autoSpaceDN w:val="0"/>
              <w:adjustRightInd w:val="0"/>
              <w:spacing w:before="20" w:after="20"/>
              <w:jc w:val="center"/>
            </w:pPr>
            <w:r>
              <w:t>-</w:t>
            </w:r>
          </w:p>
        </w:tc>
        <w:tc>
          <w:tcPr>
            <w:tcW w:w="691" w:type="pct"/>
            <w:vAlign w:val="center"/>
          </w:tcPr>
          <w:p w:rsidR="003A197A" w:rsidRDefault="003A197A" w:rsidP="003A197A">
            <w:pPr>
              <w:keepNext/>
              <w:autoSpaceDE w:val="0"/>
              <w:autoSpaceDN w:val="0"/>
              <w:adjustRightInd w:val="0"/>
              <w:spacing w:before="20" w:after="20"/>
              <w:jc w:val="center"/>
            </w:pPr>
            <w:r>
              <w:t>0.1</w:t>
            </w:r>
          </w:p>
        </w:tc>
        <w:tc>
          <w:tcPr>
            <w:tcW w:w="740" w:type="pct"/>
          </w:tcPr>
          <w:p w:rsidR="003A197A" w:rsidRDefault="003A197A" w:rsidP="003A197A">
            <w:pPr>
              <w:keepNext/>
              <w:autoSpaceDE w:val="0"/>
              <w:autoSpaceDN w:val="0"/>
              <w:adjustRightInd w:val="0"/>
              <w:spacing w:before="20" w:after="20"/>
              <w:jc w:val="center"/>
            </w:pPr>
            <w:r>
              <w:t>10%</w:t>
            </w:r>
          </w:p>
        </w:tc>
        <w:tc>
          <w:tcPr>
            <w:tcW w:w="688" w:type="pct"/>
            <w:tcBorders>
              <w:right w:val="single" w:sz="12" w:space="0" w:color="auto"/>
            </w:tcBorders>
            <w:vAlign w:val="center"/>
          </w:tcPr>
          <w:p w:rsidR="003A197A" w:rsidRDefault="003A197A" w:rsidP="003A197A">
            <w:pPr>
              <w:keepNext/>
              <w:autoSpaceDE w:val="0"/>
              <w:autoSpaceDN w:val="0"/>
              <w:adjustRightInd w:val="0"/>
              <w:spacing w:before="20" w:after="20"/>
              <w:jc w:val="center"/>
            </w:pPr>
            <w:r>
              <w:t>No</w:t>
            </w:r>
          </w:p>
        </w:tc>
      </w:tr>
      <w:tr w:rsidR="003A197A" w:rsidRPr="004A2248" w:rsidTr="00702728">
        <w:trPr>
          <w:cantSplit/>
          <w:trHeight w:val="352"/>
          <w:jc w:val="center"/>
        </w:trPr>
        <w:tc>
          <w:tcPr>
            <w:tcW w:w="574" w:type="pct"/>
            <w:vMerge/>
            <w:tcBorders>
              <w:left w:val="single" w:sz="12" w:space="0" w:color="auto"/>
              <w:right w:val="single" w:sz="12" w:space="0" w:color="auto"/>
            </w:tcBorders>
            <w:shd w:val="clear" w:color="auto" w:fill="B8CCE4"/>
          </w:tcPr>
          <w:p w:rsidR="003A197A" w:rsidRDefault="003A197A" w:rsidP="003A197A">
            <w:pPr>
              <w:keepNext/>
              <w:autoSpaceDE w:val="0"/>
              <w:autoSpaceDN w:val="0"/>
              <w:adjustRightInd w:val="0"/>
              <w:jc w:val="center"/>
              <w:rPr>
                <w:b/>
              </w:rPr>
            </w:pPr>
          </w:p>
        </w:tc>
        <w:tc>
          <w:tcPr>
            <w:tcW w:w="804" w:type="pct"/>
            <w:tcBorders>
              <w:left w:val="single" w:sz="12" w:space="0" w:color="auto"/>
            </w:tcBorders>
            <w:vAlign w:val="center"/>
          </w:tcPr>
          <w:p w:rsidR="003A197A" w:rsidRDefault="003A197A" w:rsidP="003A197A">
            <w:pPr>
              <w:keepNext/>
              <w:autoSpaceDE w:val="0"/>
              <w:autoSpaceDN w:val="0"/>
              <w:adjustRightInd w:val="0"/>
              <w:spacing w:before="20" w:after="20"/>
              <w:jc w:val="center"/>
            </w:pPr>
            <w:r>
              <w:t>24-Hour</w:t>
            </w:r>
          </w:p>
        </w:tc>
        <w:tc>
          <w:tcPr>
            <w:tcW w:w="714" w:type="pct"/>
            <w:vAlign w:val="center"/>
          </w:tcPr>
          <w:p w:rsidR="003A197A" w:rsidRDefault="003A197A" w:rsidP="003A197A">
            <w:pPr>
              <w:keepNext/>
              <w:autoSpaceDE w:val="0"/>
              <w:autoSpaceDN w:val="0"/>
              <w:adjustRightInd w:val="0"/>
              <w:spacing w:before="20" w:after="20"/>
              <w:jc w:val="center"/>
            </w:pPr>
            <w:r>
              <w:t>0.09</w:t>
            </w:r>
          </w:p>
        </w:tc>
        <w:tc>
          <w:tcPr>
            <w:tcW w:w="789" w:type="pct"/>
          </w:tcPr>
          <w:p w:rsidR="003A197A" w:rsidRDefault="003A197A" w:rsidP="003A197A">
            <w:pPr>
              <w:keepNext/>
              <w:autoSpaceDE w:val="0"/>
              <w:autoSpaceDN w:val="0"/>
              <w:adjustRightInd w:val="0"/>
              <w:spacing w:before="20" w:after="20"/>
              <w:jc w:val="center"/>
            </w:pPr>
            <w:r>
              <w:t>-</w:t>
            </w:r>
          </w:p>
        </w:tc>
        <w:tc>
          <w:tcPr>
            <w:tcW w:w="691" w:type="pct"/>
            <w:vAlign w:val="center"/>
          </w:tcPr>
          <w:p w:rsidR="003A197A" w:rsidRDefault="003A197A" w:rsidP="003A197A">
            <w:pPr>
              <w:keepNext/>
              <w:autoSpaceDE w:val="0"/>
              <w:autoSpaceDN w:val="0"/>
              <w:adjustRightInd w:val="0"/>
              <w:spacing w:before="20" w:after="20"/>
              <w:jc w:val="center"/>
            </w:pPr>
            <w:r>
              <w:t>0.2</w:t>
            </w:r>
          </w:p>
        </w:tc>
        <w:tc>
          <w:tcPr>
            <w:tcW w:w="740" w:type="pct"/>
          </w:tcPr>
          <w:p w:rsidR="003A197A" w:rsidRDefault="003A197A" w:rsidP="003A197A">
            <w:pPr>
              <w:keepNext/>
              <w:autoSpaceDE w:val="0"/>
              <w:autoSpaceDN w:val="0"/>
              <w:adjustRightInd w:val="0"/>
              <w:spacing w:before="20" w:after="20"/>
              <w:jc w:val="center"/>
            </w:pPr>
            <w:r>
              <w:t>45%</w:t>
            </w:r>
          </w:p>
        </w:tc>
        <w:tc>
          <w:tcPr>
            <w:tcW w:w="688" w:type="pct"/>
            <w:tcBorders>
              <w:right w:val="single" w:sz="12" w:space="0" w:color="auto"/>
            </w:tcBorders>
            <w:vAlign w:val="center"/>
          </w:tcPr>
          <w:p w:rsidR="003A197A" w:rsidRDefault="003A197A" w:rsidP="003A197A">
            <w:pPr>
              <w:keepNext/>
              <w:autoSpaceDE w:val="0"/>
              <w:autoSpaceDN w:val="0"/>
              <w:adjustRightInd w:val="0"/>
              <w:spacing w:before="20" w:after="20"/>
              <w:jc w:val="center"/>
            </w:pPr>
            <w:r>
              <w:t>No</w:t>
            </w:r>
          </w:p>
        </w:tc>
      </w:tr>
      <w:tr w:rsidR="003A197A" w:rsidRPr="004A2248" w:rsidTr="00702728">
        <w:trPr>
          <w:cantSplit/>
          <w:trHeight w:val="352"/>
          <w:jc w:val="center"/>
        </w:trPr>
        <w:tc>
          <w:tcPr>
            <w:tcW w:w="574" w:type="pct"/>
            <w:vMerge w:val="restart"/>
            <w:tcBorders>
              <w:left w:val="single" w:sz="12" w:space="0" w:color="auto"/>
              <w:right w:val="single" w:sz="12" w:space="0" w:color="auto"/>
            </w:tcBorders>
            <w:shd w:val="clear" w:color="auto" w:fill="B8CCE4"/>
            <w:vAlign w:val="center"/>
          </w:tcPr>
          <w:p w:rsidR="003A197A" w:rsidRDefault="003A197A" w:rsidP="00FB5A93">
            <w:pPr>
              <w:keepNext/>
              <w:autoSpaceDE w:val="0"/>
              <w:autoSpaceDN w:val="0"/>
              <w:adjustRightInd w:val="0"/>
              <w:jc w:val="center"/>
              <w:rPr>
                <w:b/>
              </w:rPr>
            </w:pPr>
            <w:r>
              <w:rPr>
                <w:b/>
              </w:rPr>
              <w:t>NO</w:t>
            </w:r>
            <w:r w:rsidRPr="003A197A">
              <w:rPr>
                <w:b/>
                <w:vertAlign w:val="subscript"/>
              </w:rPr>
              <w:t>2</w:t>
            </w:r>
          </w:p>
        </w:tc>
        <w:tc>
          <w:tcPr>
            <w:tcW w:w="804" w:type="pct"/>
            <w:tcBorders>
              <w:left w:val="single" w:sz="12" w:space="0" w:color="auto"/>
            </w:tcBorders>
            <w:vAlign w:val="center"/>
          </w:tcPr>
          <w:p w:rsidR="003A197A" w:rsidRDefault="003A197A" w:rsidP="003A197A">
            <w:pPr>
              <w:keepNext/>
              <w:autoSpaceDE w:val="0"/>
              <w:autoSpaceDN w:val="0"/>
              <w:adjustRightInd w:val="0"/>
              <w:spacing w:before="20" w:after="20"/>
              <w:jc w:val="center"/>
            </w:pPr>
            <w:r>
              <w:t>3-Hour</w:t>
            </w:r>
          </w:p>
        </w:tc>
        <w:tc>
          <w:tcPr>
            <w:tcW w:w="714" w:type="pct"/>
            <w:vAlign w:val="center"/>
          </w:tcPr>
          <w:p w:rsidR="003A197A" w:rsidRDefault="003A197A" w:rsidP="003A197A">
            <w:pPr>
              <w:keepNext/>
              <w:autoSpaceDE w:val="0"/>
              <w:autoSpaceDN w:val="0"/>
              <w:adjustRightInd w:val="0"/>
              <w:spacing w:before="20" w:after="20"/>
              <w:jc w:val="center"/>
            </w:pPr>
            <w:r>
              <w:t>0.29</w:t>
            </w:r>
          </w:p>
        </w:tc>
        <w:tc>
          <w:tcPr>
            <w:tcW w:w="789" w:type="pct"/>
          </w:tcPr>
          <w:p w:rsidR="003A197A" w:rsidRDefault="003A197A" w:rsidP="003A197A">
            <w:pPr>
              <w:keepNext/>
              <w:autoSpaceDE w:val="0"/>
              <w:autoSpaceDN w:val="0"/>
              <w:adjustRightInd w:val="0"/>
              <w:spacing w:before="20" w:after="20"/>
              <w:jc w:val="center"/>
            </w:pPr>
            <w:r>
              <w:t>-</w:t>
            </w:r>
          </w:p>
        </w:tc>
        <w:tc>
          <w:tcPr>
            <w:tcW w:w="691" w:type="pct"/>
            <w:vAlign w:val="center"/>
          </w:tcPr>
          <w:p w:rsidR="003A197A" w:rsidRDefault="003A197A" w:rsidP="003A197A">
            <w:pPr>
              <w:keepNext/>
              <w:autoSpaceDE w:val="0"/>
              <w:autoSpaceDN w:val="0"/>
              <w:adjustRightInd w:val="0"/>
              <w:spacing w:before="20" w:after="20"/>
              <w:jc w:val="center"/>
            </w:pPr>
            <w:r>
              <w:t>1</w:t>
            </w:r>
          </w:p>
        </w:tc>
        <w:tc>
          <w:tcPr>
            <w:tcW w:w="740" w:type="pct"/>
          </w:tcPr>
          <w:p w:rsidR="003A197A" w:rsidRDefault="003A197A" w:rsidP="003A197A">
            <w:pPr>
              <w:keepNext/>
              <w:autoSpaceDE w:val="0"/>
              <w:autoSpaceDN w:val="0"/>
              <w:adjustRightInd w:val="0"/>
              <w:spacing w:before="20" w:after="20"/>
              <w:jc w:val="center"/>
            </w:pPr>
            <w:r>
              <w:t>29%</w:t>
            </w:r>
          </w:p>
        </w:tc>
        <w:tc>
          <w:tcPr>
            <w:tcW w:w="688" w:type="pct"/>
            <w:tcBorders>
              <w:right w:val="single" w:sz="12" w:space="0" w:color="auto"/>
            </w:tcBorders>
            <w:vAlign w:val="center"/>
          </w:tcPr>
          <w:p w:rsidR="003A197A" w:rsidRDefault="003A197A" w:rsidP="003A197A">
            <w:pPr>
              <w:keepNext/>
              <w:autoSpaceDE w:val="0"/>
              <w:autoSpaceDN w:val="0"/>
              <w:adjustRightInd w:val="0"/>
              <w:spacing w:before="20" w:after="20"/>
              <w:jc w:val="center"/>
            </w:pPr>
            <w:r>
              <w:t>No</w:t>
            </w:r>
          </w:p>
        </w:tc>
      </w:tr>
      <w:tr w:rsidR="003A197A" w:rsidRPr="004A2248" w:rsidTr="00702728">
        <w:trPr>
          <w:cantSplit/>
          <w:trHeight w:val="352"/>
          <w:jc w:val="center"/>
        </w:trPr>
        <w:tc>
          <w:tcPr>
            <w:tcW w:w="574" w:type="pct"/>
            <w:vMerge/>
            <w:tcBorders>
              <w:left w:val="single" w:sz="12" w:space="0" w:color="auto"/>
              <w:bottom w:val="single" w:sz="12" w:space="0" w:color="auto"/>
              <w:right w:val="single" w:sz="12" w:space="0" w:color="auto"/>
            </w:tcBorders>
            <w:shd w:val="clear" w:color="auto" w:fill="B8CCE4"/>
          </w:tcPr>
          <w:p w:rsidR="003A197A" w:rsidRDefault="003A197A" w:rsidP="003A197A">
            <w:pPr>
              <w:keepNext/>
              <w:autoSpaceDE w:val="0"/>
              <w:autoSpaceDN w:val="0"/>
              <w:adjustRightInd w:val="0"/>
              <w:jc w:val="center"/>
              <w:rPr>
                <w:b/>
              </w:rPr>
            </w:pPr>
          </w:p>
        </w:tc>
        <w:tc>
          <w:tcPr>
            <w:tcW w:w="804" w:type="pct"/>
            <w:tcBorders>
              <w:left w:val="single" w:sz="12" w:space="0" w:color="auto"/>
              <w:bottom w:val="single" w:sz="12" w:space="0" w:color="auto"/>
            </w:tcBorders>
            <w:vAlign w:val="center"/>
          </w:tcPr>
          <w:p w:rsidR="003A197A" w:rsidRDefault="003A197A" w:rsidP="003A197A">
            <w:pPr>
              <w:keepNext/>
              <w:autoSpaceDE w:val="0"/>
              <w:autoSpaceDN w:val="0"/>
              <w:adjustRightInd w:val="0"/>
              <w:spacing w:before="20" w:after="20"/>
              <w:jc w:val="center"/>
            </w:pPr>
            <w:r>
              <w:t>Annual</w:t>
            </w:r>
          </w:p>
        </w:tc>
        <w:tc>
          <w:tcPr>
            <w:tcW w:w="714" w:type="pct"/>
            <w:tcBorders>
              <w:bottom w:val="single" w:sz="12" w:space="0" w:color="auto"/>
            </w:tcBorders>
            <w:vAlign w:val="center"/>
          </w:tcPr>
          <w:p w:rsidR="003A197A" w:rsidRDefault="003A197A" w:rsidP="003A197A">
            <w:pPr>
              <w:keepNext/>
              <w:autoSpaceDE w:val="0"/>
              <w:autoSpaceDN w:val="0"/>
              <w:adjustRightInd w:val="0"/>
              <w:spacing w:before="20" w:after="20"/>
              <w:jc w:val="center"/>
            </w:pPr>
            <w:r>
              <w:t>0.009</w:t>
            </w:r>
          </w:p>
        </w:tc>
        <w:tc>
          <w:tcPr>
            <w:tcW w:w="789" w:type="pct"/>
            <w:tcBorders>
              <w:bottom w:val="single" w:sz="12" w:space="0" w:color="auto"/>
            </w:tcBorders>
          </w:tcPr>
          <w:p w:rsidR="003A197A" w:rsidRDefault="003A197A" w:rsidP="003A197A">
            <w:pPr>
              <w:keepNext/>
              <w:autoSpaceDE w:val="0"/>
              <w:autoSpaceDN w:val="0"/>
              <w:adjustRightInd w:val="0"/>
              <w:spacing w:before="20" w:after="20"/>
              <w:jc w:val="center"/>
            </w:pPr>
            <w:r>
              <w:t>-</w:t>
            </w:r>
          </w:p>
        </w:tc>
        <w:tc>
          <w:tcPr>
            <w:tcW w:w="691" w:type="pct"/>
            <w:tcBorders>
              <w:bottom w:val="single" w:sz="12" w:space="0" w:color="auto"/>
            </w:tcBorders>
            <w:vAlign w:val="center"/>
          </w:tcPr>
          <w:p w:rsidR="003A197A" w:rsidRDefault="003A197A" w:rsidP="003A197A">
            <w:pPr>
              <w:keepNext/>
              <w:autoSpaceDE w:val="0"/>
              <w:autoSpaceDN w:val="0"/>
              <w:adjustRightInd w:val="0"/>
              <w:spacing w:before="20" w:after="20"/>
              <w:jc w:val="center"/>
            </w:pPr>
            <w:r>
              <w:t>0.1</w:t>
            </w:r>
          </w:p>
        </w:tc>
        <w:tc>
          <w:tcPr>
            <w:tcW w:w="740" w:type="pct"/>
            <w:tcBorders>
              <w:bottom w:val="single" w:sz="12" w:space="0" w:color="auto"/>
            </w:tcBorders>
          </w:tcPr>
          <w:p w:rsidR="003A197A" w:rsidRDefault="003A197A" w:rsidP="003A197A">
            <w:pPr>
              <w:keepNext/>
              <w:autoSpaceDE w:val="0"/>
              <w:autoSpaceDN w:val="0"/>
              <w:adjustRightInd w:val="0"/>
              <w:spacing w:before="20" w:after="20"/>
              <w:jc w:val="center"/>
            </w:pPr>
            <w:r>
              <w:t>9%</w:t>
            </w:r>
          </w:p>
        </w:tc>
        <w:tc>
          <w:tcPr>
            <w:tcW w:w="688" w:type="pct"/>
            <w:tcBorders>
              <w:bottom w:val="single" w:sz="12" w:space="0" w:color="auto"/>
              <w:right w:val="single" w:sz="12" w:space="0" w:color="auto"/>
            </w:tcBorders>
            <w:vAlign w:val="center"/>
          </w:tcPr>
          <w:p w:rsidR="003A197A" w:rsidRDefault="003A197A" w:rsidP="003A197A">
            <w:pPr>
              <w:keepNext/>
              <w:autoSpaceDE w:val="0"/>
              <w:autoSpaceDN w:val="0"/>
              <w:adjustRightInd w:val="0"/>
              <w:spacing w:before="20" w:after="20"/>
              <w:jc w:val="center"/>
            </w:pPr>
            <w:r>
              <w:t>No</w:t>
            </w:r>
          </w:p>
        </w:tc>
      </w:tr>
    </w:tbl>
    <w:p w:rsidR="00EF6B10" w:rsidRPr="00EF6B10" w:rsidRDefault="00EF6B10" w:rsidP="009A539A">
      <w:pPr>
        <w:widowControl w:val="0"/>
        <w:numPr>
          <w:ilvl w:val="2"/>
          <w:numId w:val="3"/>
        </w:numPr>
        <w:spacing w:before="120" w:after="120"/>
        <w:ind w:left="720" w:hanging="720"/>
        <w:rPr>
          <w:sz w:val="22"/>
          <w:szCs w:val="22"/>
          <w:u w:val="single"/>
        </w:rPr>
      </w:pPr>
      <w:r w:rsidRPr="00EF6B10">
        <w:rPr>
          <w:sz w:val="22"/>
          <w:szCs w:val="22"/>
          <w:u w:val="single"/>
        </w:rPr>
        <w:t>Ozone Analysis</w:t>
      </w:r>
    </w:p>
    <w:p w:rsidR="00EF6B10" w:rsidRPr="00EF6B10" w:rsidRDefault="00EF6B10" w:rsidP="00EF6B10">
      <w:pPr>
        <w:widowControl w:val="0"/>
        <w:spacing w:after="120"/>
        <w:rPr>
          <w:sz w:val="22"/>
          <w:szCs w:val="22"/>
        </w:rPr>
      </w:pPr>
      <w:r w:rsidRPr="00EF6B10">
        <w:rPr>
          <w:sz w:val="22"/>
          <w:szCs w:val="22"/>
        </w:rPr>
        <w:t>Ozone is a secondarily formed pollutant that is known to be caused by the regional emissions of VOC and NO</w:t>
      </w:r>
      <w:r w:rsidRPr="00EF6B10">
        <w:rPr>
          <w:sz w:val="22"/>
          <w:szCs w:val="22"/>
          <w:vertAlign w:val="subscript"/>
        </w:rPr>
        <w:t>X</w:t>
      </w:r>
      <w:r w:rsidRPr="00EF6B10">
        <w:rPr>
          <w:sz w:val="22"/>
          <w:szCs w:val="22"/>
        </w:rPr>
        <w:t xml:space="preserve"> in combination with certain meteorological conditions (temperature, humidity, solar insolation, etc.). </w:t>
      </w:r>
      <w:r w:rsidR="002A0497">
        <w:rPr>
          <w:sz w:val="22"/>
          <w:szCs w:val="22"/>
        </w:rPr>
        <w:t xml:space="preserve"> </w:t>
      </w:r>
      <w:r w:rsidRPr="00EF6B10">
        <w:rPr>
          <w:sz w:val="22"/>
          <w:szCs w:val="22"/>
        </w:rPr>
        <w:t>Projects with VOC or NO</w:t>
      </w:r>
      <w:r w:rsidRPr="00EF6B10">
        <w:rPr>
          <w:sz w:val="22"/>
          <w:szCs w:val="22"/>
          <w:vertAlign w:val="subscript"/>
        </w:rPr>
        <w:t>X</w:t>
      </w:r>
      <w:r w:rsidRPr="00EF6B10">
        <w:rPr>
          <w:sz w:val="22"/>
          <w:szCs w:val="22"/>
        </w:rPr>
        <w:t xml:space="preserve"> potential emissions increases of 40 TPY or greater are required to perform a source impact analysis for ozone. </w:t>
      </w:r>
      <w:r w:rsidR="002A0497">
        <w:rPr>
          <w:sz w:val="22"/>
          <w:szCs w:val="22"/>
        </w:rPr>
        <w:t xml:space="preserve"> </w:t>
      </w:r>
      <w:r w:rsidRPr="00EF6B10">
        <w:rPr>
          <w:sz w:val="22"/>
          <w:szCs w:val="22"/>
        </w:rPr>
        <w:t>The applicant estimated maximum annual potential VOC and NO</w:t>
      </w:r>
      <w:r w:rsidRPr="00EF6B10">
        <w:rPr>
          <w:sz w:val="22"/>
          <w:szCs w:val="22"/>
          <w:vertAlign w:val="subscript"/>
        </w:rPr>
        <w:t>X</w:t>
      </w:r>
      <w:r w:rsidRPr="00EF6B10">
        <w:rPr>
          <w:sz w:val="22"/>
          <w:szCs w:val="22"/>
        </w:rPr>
        <w:t xml:space="preserve"> emissions from the project to be 32.0 and 126.2 TPY respectively and is therefore required to provide an analysis for ozone. </w:t>
      </w:r>
      <w:r w:rsidR="002A0497">
        <w:rPr>
          <w:sz w:val="22"/>
          <w:szCs w:val="22"/>
        </w:rPr>
        <w:t xml:space="preserve"> </w:t>
      </w:r>
      <w:r w:rsidRPr="00EF6B10">
        <w:rPr>
          <w:sz w:val="22"/>
          <w:szCs w:val="22"/>
        </w:rPr>
        <w:t>Just as for secondary PM</w:t>
      </w:r>
      <w:r w:rsidRPr="00EF6B10">
        <w:rPr>
          <w:sz w:val="22"/>
          <w:szCs w:val="22"/>
          <w:vertAlign w:val="subscript"/>
        </w:rPr>
        <w:t>2.5</w:t>
      </w:r>
      <w:r w:rsidRPr="00EF6B10">
        <w:rPr>
          <w:sz w:val="22"/>
          <w:szCs w:val="22"/>
        </w:rPr>
        <w:t xml:space="preserve">, the applicant must use a two-tiered demonstration to analyze the project’s impacts on secondary ozone formation. </w:t>
      </w:r>
      <w:r w:rsidR="002A0497">
        <w:rPr>
          <w:sz w:val="22"/>
          <w:szCs w:val="22"/>
        </w:rPr>
        <w:t xml:space="preserve"> </w:t>
      </w:r>
      <w:r w:rsidR="00E20F9D">
        <w:rPr>
          <w:sz w:val="22"/>
          <w:szCs w:val="22"/>
        </w:rPr>
        <w:t>Because t</w:t>
      </w:r>
      <w:r w:rsidRPr="00EF6B10">
        <w:rPr>
          <w:sz w:val="22"/>
          <w:szCs w:val="22"/>
        </w:rPr>
        <w:t xml:space="preserve">he applicant </w:t>
      </w:r>
      <w:r w:rsidR="00E20F9D" w:rsidRPr="00E20F9D">
        <w:rPr>
          <w:sz w:val="22"/>
          <w:szCs w:val="22"/>
        </w:rPr>
        <w:t>did not provide an ozone analysis, the Department perform</w:t>
      </w:r>
      <w:r w:rsidR="00E20F9D">
        <w:rPr>
          <w:sz w:val="22"/>
          <w:szCs w:val="22"/>
        </w:rPr>
        <w:t>ed one for the project using</w:t>
      </w:r>
      <w:r w:rsidRPr="00EF6B10">
        <w:rPr>
          <w:sz w:val="22"/>
          <w:szCs w:val="22"/>
        </w:rPr>
        <w:t xml:space="preserve"> the most conservative MERP values for the Eastern US from EPA guidance</w:t>
      </w:r>
      <w:r w:rsidRPr="00EF6B10">
        <w:rPr>
          <w:sz w:val="22"/>
          <w:szCs w:val="22"/>
          <w:vertAlign w:val="superscript"/>
        </w:rPr>
        <w:footnoteReference w:id="17"/>
      </w:r>
      <w:r w:rsidRPr="00EF6B10">
        <w:rPr>
          <w:sz w:val="22"/>
          <w:szCs w:val="22"/>
        </w:rPr>
        <w:t xml:space="preserve"> to estimate the project’s secondary ozone impacts (</w:t>
      </w:r>
      <w:r w:rsidR="009A539A">
        <w:rPr>
          <w:sz w:val="22"/>
          <w:szCs w:val="22"/>
        </w:rPr>
        <w:t>see</w:t>
      </w:r>
      <w:r w:rsidR="009A539A" w:rsidRPr="009A539A">
        <w:rPr>
          <w:rFonts w:ascii="Times New Roman Bold" w:hAnsi="Times New Roman Bold"/>
          <w:b/>
          <w:sz w:val="22"/>
          <w:szCs w:val="22"/>
        </w:rPr>
        <w:t xml:space="preserve"> </w:t>
      </w:r>
      <w:r w:rsidR="009A539A" w:rsidRPr="009A539A">
        <w:rPr>
          <w:rFonts w:ascii="Times New Roman Bold" w:hAnsi="Times New Roman Bold"/>
          <w:b/>
          <w:sz w:val="22"/>
          <w:szCs w:val="22"/>
        </w:rPr>
        <w:fldChar w:fldCharType="begin"/>
      </w:r>
      <w:r w:rsidR="009A539A" w:rsidRPr="009A539A">
        <w:rPr>
          <w:rFonts w:ascii="Times New Roman Bold" w:hAnsi="Times New Roman Bold"/>
          <w:b/>
          <w:sz w:val="22"/>
          <w:szCs w:val="22"/>
        </w:rPr>
        <w:instrText xml:space="preserve"> REF _Ref513626801 \h </w:instrText>
      </w:r>
      <w:r w:rsidR="009A539A">
        <w:rPr>
          <w:rFonts w:ascii="Times New Roman Bold" w:hAnsi="Times New Roman Bold"/>
          <w:b/>
          <w:sz w:val="22"/>
          <w:szCs w:val="22"/>
        </w:rPr>
        <w:instrText xml:space="preserve"> \* MERGEFORMAT </w:instrText>
      </w:r>
      <w:r w:rsidR="009A539A" w:rsidRPr="009A539A">
        <w:rPr>
          <w:rFonts w:ascii="Times New Roman Bold" w:hAnsi="Times New Roman Bold"/>
          <w:b/>
          <w:sz w:val="22"/>
          <w:szCs w:val="22"/>
        </w:rPr>
      </w:r>
      <w:r w:rsidR="009A539A" w:rsidRPr="009A539A">
        <w:rPr>
          <w:rFonts w:ascii="Times New Roman Bold" w:hAnsi="Times New Roman Bold"/>
          <w:b/>
          <w:sz w:val="22"/>
          <w:szCs w:val="22"/>
        </w:rPr>
        <w:fldChar w:fldCharType="separate"/>
      </w:r>
      <w:r w:rsidR="009A539A" w:rsidRPr="009A539A">
        <w:rPr>
          <w:rFonts w:ascii="Times New Roman Bold" w:hAnsi="Times New Roman Bold"/>
          <w:b/>
          <w:sz w:val="22"/>
        </w:rPr>
        <w:t xml:space="preserve">Table </w:t>
      </w:r>
      <w:r w:rsidR="009A539A" w:rsidRPr="009A539A">
        <w:rPr>
          <w:rFonts w:ascii="Times New Roman Bold" w:hAnsi="Times New Roman Bold"/>
          <w:b/>
          <w:noProof/>
          <w:sz w:val="22"/>
        </w:rPr>
        <w:t>26</w:t>
      </w:r>
      <w:r w:rsidR="009A539A" w:rsidRPr="009A539A">
        <w:rPr>
          <w:rFonts w:ascii="Times New Roman Bold" w:hAnsi="Times New Roman Bold"/>
          <w:b/>
          <w:sz w:val="22"/>
          <w:szCs w:val="22"/>
        </w:rPr>
        <w:fldChar w:fldCharType="end"/>
      </w:r>
      <w:r w:rsidRPr="00EF6B10">
        <w:rPr>
          <w:sz w:val="22"/>
          <w:szCs w:val="22"/>
        </w:rPr>
        <w:t>).</w:t>
      </w:r>
    </w:p>
    <w:p w:rsidR="00EF6B10" w:rsidRPr="005E437C" w:rsidRDefault="009A539A" w:rsidP="009A539A">
      <w:pPr>
        <w:pStyle w:val="Caption"/>
        <w:spacing w:before="0"/>
        <w:jc w:val="center"/>
        <w:rPr>
          <w:szCs w:val="22"/>
        </w:rPr>
      </w:pPr>
      <w:bookmarkStart w:id="89" w:name="_Ref513626801"/>
      <w:r>
        <w:t xml:space="preserve">Table </w:t>
      </w:r>
      <w:fldSimple w:instr=" SEQ Table \* ARABIC ">
        <w:r w:rsidR="007204D0">
          <w:rPr>
            <w:noProof/>
          </w:rPr>
          <w:t>26</w:t>
        </w:r>
      </w:fldSimple>
      <w:bookmarkEnd w:id="89"/>
      <w:r>
        <w:t xml:space="preserve"> - </w:t>
      </w:r>
      <w:r w:rsidR="00EF6B10" w:rsidRPr="005E437C">
        <w:rPr>
          <w:szCs w:val="22"/>
        </w:rPr>
        <w:t>Modeled emission rates for precursors, and emissions and secondary ozone impacts for the project.</w:t>
      </w:r>
    </w:p>
    <w:tbl>
      <w:tblPr>
        <w:tblW w:w="7386" w:type="dxa"/>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3585"/>
        <w:gridCol w:w="666"/>
        <w:gridCol w:w="810"/>
        <w:gridCol w:w="2595"/>
      </w:tblGrid>
      <w:tr w:rsidR="00F3149E" w:rsidRPr="00832A67" w:rsidTr="003A197A">
        <w:trPr>
          <w:trHeight w:val="258"/>
          <w:tblHeader/>
          <w:jc w:val="center"/>
        </w:trPr>
        <w:tc>
          <w:tcPr>
            <w:tcW w:w="3585" w:type="dxa"/>
            <w:tcBorders>
              <w:top w:val="single" w:sz="12" w:space="0" w:color="auto"/>
              <w:left w:val="single" w:sz="12" w:space="0" w:color="auto"/>
              <w:bottom w:val="single" w:sz="12" w:space="0" w:color="auto"/>
              <w:right w:val="single" w:sz="12" w:space="0" w:color="auto"/>
            </w:tcBorders>
            <w:shd w:val="clear" w:color="auto" w:fill="B8CCE4"/>
            <w:noWrap/>
            <w:vAlign w:val="center"/>
            <w:hideMark/>
          </w:tcPr>
          <w:p w:rsidR="00F3149E" w:rsidRPr="00107784" w:rsidRDefault="00F3149E" w:rsidP="00CF08C0">
            <w:pPr>
              <w:jc w:val="center"/>
              <w:rPr>
                <w:b/>
                <w:color w:val="000000"/>
              </w:rPr>
            </w:pPr>
            <w:r w:rsidRPr="00107784">
              <w:rPr>
                <w:b/>
                <w:color w:val="000000"/>
              </w:rPr>
              <w:t>MERPs and Emissions (tons per year)</w:t>
            </w:r>
          </w:p>
        </w:tc>
        <w:tc>
          <w:tcPr>
            <w:tcW w:w="396" w:type="dxa"/>
            <w:tcBorders>
              <w:top w:val="single" w:sz="12" w:space="0" w:color="auto"/>
              <w:left w:val="single" w:sz="12" w:space="0" w:color="auto"/>
              <w:bottom w:val="single" w:sz="12" w:space="0" w:color="auto"/>
            </w:tcBorders>
            <w:shd w:val="clear" w:color="auto" w:fill="B8CCE4"/>
            <w:noWrap/>
            <w:vAlign w:val="center"/>
            <w:hideMark/>
          </w:tcPr>
          <w:p w:rsidR="00F3149E" w:rsidRPr="00107784" w:rsidRDefault="00F3149E" w:rsidP="00CF08C0">
            <w:pPr>
              <w:jc w:val="center"/>
              <w:rPr>
                <w:b/>
                <w:color w:val="000000"/>
              </w:rPr>
            </w:pPr>
            <w:r w:rsidRPr="00107784">
              <w:rPr>
                <w:b/>
                <w:color w:val="000000"/>
              </w:rPr>
              <w:t>NO</w:t>
            </w:r>
            <w:r w:rsidRPr="00107784">
              <w:rPr>
                <w:b/>
                <w:color w:val="000000"/>
                <w:vertAlign w:val="subscript"/>
              </w:rPr>
              <w:t>X</w:t>
            </w:r>
          </w:p>
        </w:tc>
        <w:tc>
          <w:tcPr>
            <w:tcW w:w="810" w:type="dxa"/>
            <w:tcBorders>
              <w:top w:val="single" w:sz="12" w:space="0" w:color="auto"/>
              <w:bottom w:val="single" w:sz="12" w:space="0" w:color="auto"/>
            </w:tcBorders>
            <w:shd w:val="clear" w:color="auto" w:fill="B8CCE4"/>
            <w:noWrap/>
            <w:vAlign w:val="center"/>
            <w:hideMark/>
          </w:tcPr>
          <w:p w:rsidR="00F3149E" w:rsidRPr="00107784" w:rsidRDefault="00BD3722" w:rsidP="00CF08C0">
            <w:pPr>
              <w:jc w:val="center"/>
              <w:rPr>
                <w:b/>
                <w:color w:val="000000"/>
              </w:rPr>
            </w:pPr>
            <w:r>
              <w:rPr>
                <w:b/>
                <w:color w:val="000000"/>
              </w:rPr>
              <w:t>VOC</w:t>
            </w:r>
          </w:p>
        </w:tc>
        <w:tc>
          <w:tcPr>
            <w:tcW w:w="2595" w:type="dxa"/>
            <w:tcBorders>
              <w:top w:val="single" w:sz="12" w:space="0" w:color="auto"/>
              <w:bottom w:val="single" w:sz="12" w:space="0" w:color="auto"/>
              <w:right w:val="single" w:sz="12" w:space="0" w:color="auto"/>
            </w:tcBorders>
            <w:shd w:val="clear" w:color="auto" w:fill="B8CCE4"/>
            <w:noWrap/>
            <w:vAlign w:val="center"/>
            <w:hideMark/>
          </w:tcPr>
          <w:p w:rsidR="00F3149E" w:rsidRPr="00107784" w:rsidRDefault="00F3149E" w:rsidP="00CF08C0">
            <w:pPr>
              <w:jc w:val="center"/>
              <w:rPr>
                <w:b/>
                <w:color w:val="000000"/>
              </w:rPr>
            </w:pPr>
            <w:r w:rsidRPr="00107784">
              <w:rPr>
                <w:b/>
                <w:color w:val="000000"/>
              </w:rPr>
              <w:t>Project Secondary Impacts</w:t>
            </w:r>
          </w:p>
        </w:tc>
      </w:tr>
      <w:tr w:rsidR="00F3149E" w:rsidRPr="00832A67" w:rsidTr="003A197A">
        <w:trPr>
          <w:trHeight w:val="270"/>
          <w:jc w:val="center"/>
        </w:trPr>
        <w:tc>
          <w:tcPr>
            <w:tcW w:w="3585" w:type="dxa"/>
            <w:tcBorders>
              <w:top w:val="single" w:sz="12" w:space="0" w:color="auto"/>
              <w:left w:val="single" w:sz="12" w:space="0" w:color="auto"/>
              <w:bottom w:val="nil"/>
              <w:right w:val="single" w:sz="12" w:space="0" w:color="auto"/>
            </w:tcBorders>
            <w:shd w:val="clear" w:color="auto" w:fill="B8CCE4"/>
            <w:noWrap/>
            <w:vAlign w:val="center"/>
            <w:hideMark/>
          </w:tcPr>
          <w:p w:rsidR="00F3149E" w:rsidRPr="00107784" w:rsidRDefault="00F3149E" w:rsidP="00CF08C0">
            <w:pPr>
              <w:jc w:val="center"/>
              <w:rPr>
                <w:b/>
                <w:color w:val="000000"/>
              </w:rPr>
            </w:pPr>
            <w:r w:rsidRPr="00107784">
              <w:rPr>
                <w:b/>
                <w:color w:val="000000"/>
              </w:rPr>
              <w:t>8-hour Ozone</w:t>
            </w:r>
          </w:p>
        </w:tc>
        <w:tc>
          <w:tcPr>
            <w:tcW w:w="396" w:type="dxa"/>
            <w:tcBorders>
              <w:top w:val="single" w:sz="12" w:space="0" w:color="auto"/>
              <w:left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170</w:t>
            </w:r>
          </w:p>
        </w:tc>
        <w:tc>
          <w:tcPr>
            <w:tcW w:w="810" w:type="dxa"/>
            <w:tcBorders>
              <w:top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1,159</w:t>
            </w:r>
          </w:p>
        </w:tc>
        <w:tc>
          <w:tcPr>
            <w:tcW w:w="2595" w:type="dxa"/>
            <w:tcBorders>
              <w:top w:val="single" w:sz="12" w:space="0" w:color="auto"/>
              <w:right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0.77 ppb</w:t>
            </w:r>
          </w:p>
        </w:tc>
      </w:tr>
      <w:tr w:rsidR="00F3149E" w:rsidRPr="00832A67" w:rsidTr="003A197A">
        <w:trPr>
          <w:trHeight w:val="270"/>
          <w:jc w:val="center"/>
        </w:trPr>
        <w:tc>
          <w:tcPr>
            <w:tcW w:w="3585" w:type="dxa"/>
            <w:tcBorders>
              <w:top w:val="nil"/>
              <w:left w:val="single" w:sz="12" w:space="0" w:color="auto"/>
              <w:bottom w:val="single" w:sz="12" w:space="0" w:color="auto"/>
              <w:right w:val="single" w:sz="12" w:space="0" w:color="auto"/>
            </w:tcBorders>
            <w:shd w:val="clear" w:color="auto" w:fill="B8CCE4"/>
            <w:noWrap/>
            <w:vAlign w:val="center"/>
            <w:hideMark/>
          </w:tcPr>
          <w:p w:rsidR="00F3149E" w:rsidRPr="00107784" w:rsidRDefault="00F3149E" w:rsidP="00CF08C0">
            <w:pPr>
              <w:jc w:val="center"/>
              <w:rPr>
                <w:b/>
                <w:color w:val="000000"/>
              </w:rPr>
            </w:pPr>
            <w:r w:rsidRPr="00107784">
              <w:rPr>
                <w:b/>
                <w:color w:val="000000"/>
              </w:rPr>
              <w:t>Project Emissions</w:t>
            </w:r>
          </w:p>
        </w:tc>
        <w:tc>
          <w:tcPr>
            <w:tcW w:w="396" w:type="dxa"/>
            <w:tcBorders>
              <w:left w:val="single" w:sz="12" w:space="0" w:color="auto"/>
              <w:bottom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126.2</w:t>
            </w:r>
          </w:p>
        </w:tc>
        <w:tc>
          <w:tcPr>
            <w:tcW w:w="810" w:type="dxa"/>
            <w:tcBorders>
              <w:bottom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32.0</w:t>
            </w:r>
          </w:p>
        </w:tc>
        <w:tc>
          <w:tcPr>
            <w:tcW w:w="2595" w:type="dxa"/>
            <w:tcBorders>
              <w:bottom w:val="single" w:sz="12" w:space="0" w:color="auto"/>
              <w:right w:val="single" w:sz="12" w:space="0" w:color="auto"/>
            </w:tcBorders>
            <w:shd w:val="clear" w:color="000000" w:fill="FFFFFF"/>
            <w:noWrap/>
            <w:vAlign w:val="center"/>
            <w:hideMark/>
          </w:tcPr>
          <w:p w:rsidR="00F3149E" w:rsidRPr="00107784" w:rsidRDefault="00F3149E" w:rsidP="00CF08C0">
            <w:pPr>
              <w:jc w:val="center"/>
              <w:rPr>
                <w:color w:val="000000"/>
              </w:rPr>
            </w:pPr>
            <w:r w:rsidRPr="00107784">
              <w:rPr>
                <w:color w:val="000000"/>
              </w:rPr>
              <w:t>-</w:t>
            </w:r>
          </w:p>
        </w:tc>
      </w:tr>
    </w:tbl>
    <w:p w:rsidR="00EF6B10" w:rsidRPr="00EF6B10" w:rsidRDefault="00EF6B10" w:rsidP="00F3149E">
      <w:pPr>
        <w:widowControl w:val="0"/>
        <w:spacing w:before="120" w:after="120"/>
        <w:rPr>
          <w:sz w:val="22"/>
          <w:szCs w:val="22"/>
        </w:rPr>
      </w:pPr>
      <w:r w:rsidRPr="00EF6B10">
        <w:rPr>
          <w:sz w:val="22"/>
          <w:szCs w:val="22"/>
        </w:rPr>
        <w:t xml:space="preserve">These secondary ozone impacts are below the SIL. </w:t>
      </w:r>
      <w:r w:rsidR="002A0497">
        <w:rPr>
          <w:sz w:val="22"/>
          <w:szCs w:val="22"/>
        </w:rPr>
        <w:t xml:space="preserve"> </w:t>
      </w:r>
      <w:r w:rsidRPr="00EF6B10">
        <w:rPr>
          <w:sz w:val="22"/>
          <w:szCs w:val="22"/>
        </w:rPr>
        <w:t>Therefore, the Department has reasonable assurance that the project will not significantly contribute to or cause any violation of the ozone NAAQS.</w:t>
      </w:r>
    </w:p>
    <w:p w:rsidR="00EF6B10" w:rsidRPr="00C10F8C" w:rsidRDefault="00EF6B10" w:rsidP="000E68D7">
      <w:pPr>
        <w:widowControl w:val="0"/>
        <w:numPr>
          <w:ilvl w:val="1"/>
          <w:numId w:val="3"/>
        </w:numPr>
        <w:spacing w:before="120" w:after="120"/>
        <w:ind w:left="720" w:hanging="720"/>
        <w:rPr>
          <w:sz w:val="22"/>
          <w:szCs w:val="22"/>
        </w:rPr>
      </w:pPr>
      <w:r w:rsidRPr="00EF6B10">
        <w:rPr>
          <w:b/>
          <w:sz w:val="22"/>
          <w:szCs w:val="22"/>
        </w:rPr>
        <w:t>Additional Impacts Analysis</w:t>
      </w:r>
    </w:p>
    <w:p w:rsidR="00EF6B10" w:rsidRPr="00EF6B10" w:rsidRDefault="00EF6B10" w:rsidP="00EF6B10">
      <w:pPr>
        <w:widowControl w:val="0"/>
        <w:spacing w:after="120"/>
        <w:rPr>
          <w:sz w:val="22"/>
          <w:szCs w:val="22"/>
        </w:rPr>
      </w:pPr>
      <w:r w:rsidRPr="00EF6B10">
        <w:rPr>
          <w:sz w:val="22"/>
          <w:szCs w:val="22"/>
        </w:rPr>
        <w:t>The applicant is required by Rule 62-212.400(8), F.A.C. to provide an analysis of the project’s potential impacts on visibility, soils, vegetation, and wildlife due to the proposed project or any general commercial residential, or industrial growth associated with the project.</w:t>
      </w:r>
    </w:p>
    <w:p w:rsidR="00EF6B10" w:rsidRPr="00C10F8C" w:rsidRDefault="00EF6B10" w:rsidP="00C10F8C">
      <w:pPr>
        <w:widowControl w:val="0"/>
        <w:numPr>
          <w:ilvl w:val="2"/>
          <w:numId w:val="3"/>
        </w:numPr>
        <w:spacing w:before="120" w:after="120"/>
        <w:ind w:left="720" w:hanging="720"/>
        <w:rPr>
          <w:sz w:val="22"/>
          <w:szCs w:val="22"/>
        </w:rPr>
      </w:pPr>
      <w:r w:rsidRPr="007707A3">
        <w:rPr>
          <w:sz w:val="22"/>
          <w:szCs w:val="22"/>
          <w:u w:val="single"/>
        </w:rPr>
        <w:t>Growth</w:t>
      </w:r>
    </w:p>
    <w:p w:rsidR="00EF6B10" w:rsidRPr="00EF6B10" w:rsidRDefault="00EF6B10" w:rsidP="00EF6B10">
      <w:pPr>
        <w:widowControl w:val="0"/>
        <w:spacing w:after="120"/>
        <w:rPr>
          <w:sz w:val="22"/>
          <w:szCs w:val="22"/>
        </w:rPr>
      </w:pPr>
      <w:r w:rsidRPr="00EF6B10">
        <w:rPr>
          <w:sz w:val="22"/>
          <w:szCs w:val="22"/>
        </w:rPr>
        <w:t>The 18</w:t>
      </w:r>
      <w:r w:rsidR="007C5838">
        <w:rPr>
          <w:sz w:val="22"/>
          <w:szCs w:val="22"/>
        </w:rPr>
        <w:t xml:space="preserve"> to </w:t>
      </w:r>
      <w:r w:rsidRPr="00EF6B10">
        <w:rPr>
          <w:sz w:val="22"/>
          <w:szCs w:val="22"/>
        </w:rPr>
        <w:t xml:space="preserve">24 month construction phase of this project will require approximately 230 workers during that time, with many workers commuting to the site. </w:t>
      </w:r>
      <w:r w:rsidR="002A0497">
        <w:rPr>
          <w:sz w:val="22"/>
          <w:szCs w:val="22"/>
        </w:rPr>
        <w:t xml:space="preserve"> </w:t>
      </w:r>
      <w:r w:rsidRPr="00EF6B10">
        <w:rPr>
          <w:sz w:val="22"/>
          <w:szCs w:val="22"/>
        </w:rPr>
        <w:t>Once construction is complete, only about 11 to 15 permanent personnel will remain.</w:t>
      </w:r>
      <w:r w:rsidR="002A0497">
        <w:rPr>
          <w:sz w:val="22"/>
          <w:szCs w:val="22"/>
        </w:rPr>
        <w:t xml:space="preserve"> </w:t>
      </w:r>
      <w:r w:rsidRPr="00EF6B10">
        <w:rPr>
          <w:sz w:val="22"/>
          <w:szCs w:val="22"/>
        </w:rPr>
        <w:t xml:space="preserve"> This is a small fraction of the population in the area and no air quality impacts are expected from the small increase in vehicular traffic.  Operation of the facility is not expected to result in any commercial or industrial growth in the area because existing commercial and industrial infrastructure is more than sufficient to meet the needs of the facility.</w:t>
      </w:r>
    </w:p>
    <w:p w:rsidR="00EF6B10" w:rsidRPr="00C10F8C" w:rsidRDefault="00EF6B10" w:rsidP="00C10F8C">
      <w:pPr>
        <w:widowControl w:val="0"/>
        <w:numPr>
          <w:ilvl w:val="2"/>
          <w:numId w:val="3"/>
        </w:numPr>
        <w:spacing w:before="120" w:after="120"/>
        <w:ind w:left="720" w:hanging="720"/>
        <w:rPr>
          <w:sz w:val="22"/>
          <w:szCs w:val="22"/>
        </w:rPr>
      </w:pPr>
      <w:r w:rsidRPr="00EF6B10">
        <w:rPr>
          <w:sz w:val="22"/>
          <w:szCs w:val="22"/>
          <w:u w:val="single"/>
        </w:rPr>
        <w:t>Soils, Vegetation, and Wildlife</w:t>
      </w:r>
    </w:p>
    <w:p w:rsidR="00EF6B10" w:rsidRPr="00EF6B10" w:rsidRDefault="00EF6B10" w:rsidP="00EF6B10">
      <w:pPr>
        <w:widowControl w:val="0"/>
        <w:spacing w:after="120"/>
        <w:rPr>
          <w:sz w:val="22"/>
          <w:szCs w:val="22"/>
        </w:rPr>
      </w:pPr>
      <w:r w:rsidRPr="00EF6B10">
        <w:rPr>
          <w:sz w:val="22"/>
          <w:szCs w:val="22"/>
        </w:rPr>
        <w:t>Emissions of pollutants have the potential to negatively affect soils, vegetation and wildlife near sources.</w:t>
      </w:r>
      <w:r w:rsidR="002A0497">
        <w:rPr>
          <w:sz w:val="22"/>
          <w:szCs w:val="22"/>
        </w:rPr>
        <w:t xml:space="preserve"> </w:t>
      </w:r>
      <w:r w:rsidRPr="00EF6B10">
        <w:rPr>
          <w:sz w:val="22"/>
          <w:szCs w:val="22"/>
        </w:rPr>
        <w:t xml:space="preserve"> The project’s maximum predicted air quality impacts are less than the NAAQS which were established to protect both public health and welfare. In addition, secondary NAAQS have been set to protect against visibility impairment and damage to animals, crops, vegetation, and buildings. </w:t>
      </w:r>
      <w:r w:rsidR="002A0497">
        <w:rPr>
          <w:sz w:val="22"/>
          <w:szCs w:val="22"/>
        </w:rPr>
        <w:t xml:space="preserve"> </w:t>
      </w:r>
      <w:r w:rsidRPr="00EF6B10">
        <w:rPr>
          <w:sz w:val="22"/>
          <w:szCs w:val="22"/>
        </w:rPr>
        <w:t>All ambient air quality impacts from the project have been predicted to remain well below the applicable secondary NAAQS and therefore the impact on soils, vegetation, and wildlife is expected to be negligible.</w:t>
      </w:r>
    </w:p>
    <w:p w:rsidR="00EF6B10" w:rsidRPr="00C10F8C" w:rsidRDefault="00EF6B10" w:rsidP="00C10F8C">
      <w:pPr>
        <w:widowControl w:val="0"/>
        <w:numPr>
          <w:ilvl w:val="2"/>
          <w:numId w:val="3"/>
        </w:numPr>
        <w:spacing w:before="120" w:after="120"/>
        <w:ind w:left="720" w:hanging="720"/>
        <w:rPr>
          <w:sz w:val="22"/>
          <w:szCs w:val="22"/>
        </w:rPr>
      </w:pPr>
      <w:r w:rsidRPr="00EF6B10">
        <w:rPr>
          <w:sz w:val="22"/>
          <w:szCs w:val="22"/>
          <w:u w:val="single"/>
        </w:rPr>
        <w:t>Class I AQRV</w:t>
      </w:r>
    </w:p>
    <w:p w:rsidR="00EF6B10" w:rsidRPr="00EF6B10" w:rsidRDefault="00EF6B10" w:rsidP="00EF6B10">
      <w:pPr>
        <w:widowControl w:val="0"/>
        <w:spacing w:after="120"/>
        <w:rPr>
          <w:sz w:val="22"/>
          <w:szCs w:val="22"/>
        </w:rPr>
      </w:pPr>
      <w:r w:rsidRPr="00EF6B10">
        <w:rPr>
          <w:sz w:val="22"/>
          <w:szCs w:val="22"/>
        </w:rPr>
        <w:t xml:space="preserve">The Federal Land Manager (FLM) for every Class I area that may be affected by a source is charged with protecting all air quality related values (AQRV), including visibility and deposition, in that area. </w:t>
      </w:r>
      <w:r w:rsidR="002A0497">
        <w:rPr>
          <w:sz w:val="22"/>
          <w:szCs w:val="22"/>
        </w:rPr>
        <w:t xml:space="preserve"> </w:t>
      </w:r>
      <w:r w:rsidRPr="00EF6B10">
        <w:rPr>
          <w:sz w:val="22"/>
          <w:szCs w:val="22"/>
        </w:rPr>
        <w:t>An AQRV analysis is generally required for all PSD projects and the applicant completed such an analysis for this project.</w:t>
      </w:r>
    </w:p>
    <w:p w:rsidR="00EF6B10" w:rsidRPr="00EF6B10" w:rsidRDefault="00EF6B10" w:rsidP="00EF6B10">
      <w:pPr>
        <w:widowControl w:val="0"/>
        <w:spacing w:after="120"/>
        <w:rPr>
          <w:sz w:val="22"/>
          <w:szCs w:val="22"/>
        </w:rPr>
      </w:pPr>
      <w:r w:rsidRPr="00EF6B10">
        <w:rPr>
          <w:sz w:val="22"/>
          <w:szCs w:val="22"/>
        </w:rPr>
        <w:t xml:space="preserve">The applicant is required to evaluate the potential impact of the proposed project on all applicable AQRV for any portion of a Class I area located within 50 km of the project and any area beyond 50 km that does not meet the FLAG2010 screening criteria. </w:t>
      </w:r>
      <w:r w:rsidR="002A0497">
        <w:rPr>
          <w:sz w:val="22"/>
          <w:szCs w:val="22"/>
        </w:rPr>
        <w:t xml:space="preserve"> </w:t>
      </w:r>
      <w:r w:rsidRPr="00EF6B10">
        <w:rPr>
          <w:sz w:val="22"/>
          <w:szCs w:val="22"/>
        </w:rPr>
        <w:t>The analysis calculates the Q/D ratio, where Q is potential project emissions in TPY of SO</w:t>
      </w:r>
      <w:r w:rsidRPr="00EF6B10">
        <w:rPr>
          <w:sz w:val="22"/>
          <w:szCs w:val="22"/>
          <w:vertAlign w:val="subscript"/>
        </w:rPr>
        <w:t>2</w:t>
      </w:r>
      <w:r w:rsidRPr="00EF6B10">
        <w:rPr>
          <w:sz w:val="22"/>
          <w:szCs w:val="22"/>
        </w:rPr>
        <w:t>, NO</w:t>
      </w:r>
      <w:r w:rsidRPr="00EF6B10">
        <w:rPr>
          <w:sz w:val="22"/>
          <w:szCs w:val="22"/>
          <w:vertAlign w:val="subscript"/>
        </w:rPr>
        <w:t>2</w:t>
      </w:r>
      <w:r w:rsidRPr="00EF6B10">
        <w:rPr>
          <w:sz w:val="22"/>
          <w:szCs w:val="22"/>
        </w:rPr>
        <w:t xml:space="preserve">, particulate matter, and sulfuric acid mist, and D is the distance in kilometers to the Class I area. </w:t>
      </w:r>
      <w:r w:rsidR="007C5838">
        <w:rPr>
          <w:sz w:val="22"/>
          <w:szCs w:val="22"/>
        </w:rPr>
        <w:t xml:space="preserve"> </w:t>
      </w:r>
      <w:r w:rsidRPr="00EF6B10">
        <w:rPr>
          <w:sz w:val="22"/>
          <w:szCs w:val="22"/>
        </w:rPr>
        <w:t xml:space="preserve">For sources with a Q/D ratio of 10 or less, no further AQRV analysis is required. </w:t>
      </w:r>
      <w:r w:rsidR="002A0497">
        <w:rPr>
          <w:sz w:val="22"/>
          <w:szCs w:val="22"/>
        </w:rPr>
        <w:t xml:space="preserve"> </w:t>
      </w:r>
      <w:r w:rsidRPr="00EF6B10">
        <w:rPr>
          <w:sz w:val="22"/>
          <w:szCs w:val="22"/>
        </w:rPr>
        <w:t xml:space="preserve">The proposed project is located within 50 km of all of the CNWA Class I area. </w:t>
      </w:r>
      <w:r w:rsidR="007C5838">
        <w:rPr>
          <w:sz w:val="22"/>
          <w:szCs w:val="22"/>
        </w:rPr>
        <w:t xml:space="preserve"> </w:t>
      </w:r>
      <w:r w:rsidRPr="00EF6B10">
        <w:rPr>
          <w:sz w:val="22"/>
          <w:szCs w:val="22"/>
        </w:rPr>
        <w:t xml:space="preserve">The Q/D screening test was applied for all other Class I areas located with 300 km of the project. </w:t>
      </w:r>
      <w:r w:rsidR="002A0497">
        <w:rPr>
          <w:sz w:val="22"/>
          <w:szCs w:val="22"/>
        </w:rPr>
        <w:t xml:space="preserve"> </w:t>
      </w:r>
      <w:r w:rsidRPr="00EF6B10">
        <w:rPr>
          <w:sz w:val="22"/>
          <w:szCs w:val="22"/>
        </w:rPr>
        <w:t>As seen in</w:t>
      </w:r>
      <w:r w:rsidR="00C10F8C">
        <w:rPr>
          <w:sz w:val="22"/>
          <w:szCs w:val="22"/>
        </w:rPr>
        <w:t xml:space="preserve"> </w:t>
      </w:r>
      <w:r w:rsidR="00C10F8C" w:rsidRPr="00C10F8C">
        <w:rPr>
          <w:rFonts w:ascii="Times New Roman Bold" w:hAnsi="Times New Roman Bold"/>
          <w:b/>
          <w:sz w:val="22"/>
          <w:szCs w:val="22"/>
        </w:rPr>
        <w:fldChar w:fldCharType="begin"/>
      </w:r>
      <w:r w:rsidR="00C10F8C" w:rsidRPr="00C10F8C">
        <w:rPr>
          <w:rFonts w:ascii="Times New Roman Bold" w:hAnsi="Times New Roman Bold"/>
          <w:b/>
          <w:sz w:val="22"/>
          <w:szCs w:val="22"/>
        </w:rPr>
        <w:instrText xml:space="preserve"> REF _Ref513626937 \h </w:instrText>
      </w:r>
      <w:r w:rsidR="00C10F8C">
        <w:rPr>
          <w:rFonts w:ascii="Times New Roman Bold" w:hAnsi="Times New Roman Bold"/>
          <w:b/>
          <w:sz w:val="22"/>
          <w:szCs w:val="22"/>
        </w:rPr>
        <w:instrText xml:space="preserve"> \* MERGEFORMAT </w:instrText>
      </w:r>
      <w:r w:rsidR="00C10F8C" w:rsidRPr="00C10F8C">
        <w:rPr>
          <w:rFonts w:ascii="Times New Roman Bold" w:hAnsi="Times New Roman Bold"/>
          <w:b/>
          <w:sz w:val="22"/>
          <w:szCs w:val="22"/>
        </w:rPr>
      </w:r>
      <w:r w:rsidR="00C10F8C" w:rsidRPr="00C10F8C">
        <w:rPr>
          <w:rFonts w:ascii="Times New Roman Bold" w:hAnsi="Times New Roman Bold"/>
          <w:b/>
          <w:sz w:val="22"/>
          <w:szCs w:val="22"/>
        </w:rPr>
        <w:fldChar w:fldCharType="separate"/>
      </w:r>
      <w:r w:rsidR="00C10F8C" w:rsidRPr="00C10F8C">
        <w:rPr>
          <w:rFonts w:ascii="Times New Roman Bold" w:hAnsi="Times New Roman Bold"/>
          <w:b/>
          <w:sz w:val="22"/>
        </w:rPr>
        <w:t xml:space="preserve">Table </w:t>
      </w:r>
      <w:r w:rsidR="00C10F8C" w:rsidRPr="00C10F8C">
        <w:rPr>
          <w:rFonts w:ascii="Times New Roman Bold" w:hAnsi="Times New Roman Bold"/>
          <w:b/>
          <w:noProof/>
          <w:sz w:val="22"/>
        </w:rPr>
        <w:t>27</w:t>
      </w:r>
      <w:r w:rsidR="00C10F8C" w:rsidRPr="00C10F8C">
        <w:rPr>
          <w:rFonts w:ascii="Times New Roman Bold" w:hAnsi="Times New Roman Bold"/>
          <w:b/>
          <w:sz w:val="22"/>
          <w:szCs w:val="22"/>
        </w:rPr>
        <w:fldChar w:fldCharType="end"/>
      </w:r>
      <w:r w:rsidRPr="00EF6B10">
        <w:rPr>
          <w:sz w:val="22"/>
          <w:szCs w:val="22"/>
        </w:rPr>
        <w:t>, Class I AQRV impact analyses are not required for these Class I areas.</w:t>
      </w:r>
    </w:p>
    <w:p w:rsidR="00EF6B10" w:rsidRPr="00C10F8C" w:rsidRDefault="00C10F8C" w:rsidP="00C10F8C">
      <w:pPr>
        <w:pStyle w:val="Caption"/>
        <w:spacing w:before="0"/>
        <w:jc w:val="center"/>
        <w:rPr>
          <w:szCs w:val="22"/>
        </w:rPr>
      </w:pPr>
      <w:bookmarkStart w:id="90" w:name="_Ref513626937"/>
      <w:r w:rsidRPr="00C10F8C">
        <w:t xml:space="preserve">Table </w:t>
      </w:r>
      <w:fldSimple w:instr=" SEQ Table \* ARABIC ">
        <w:r w:rsidR="007204D0">
          <w:rPr>
            <w:noProof/>
          </w:rPr>
          <w:t>27</w:t>
        </w:r>
      </w:fldSimple>
      <w:bookmarkEnd w:id="90"/>
      <w:r w:rsidRPr="00C10F8C">
        <w:t xml:space="preserve"> - </w:t>
      </w:r>
      <w:r w:rsidR="00EF6B10" w:rsidRPr="00C10F8C">
        <w:rPr>
          <w:caps w:val="0"/>
          <w:szCs w:val="22"/>
        </w:rPr>
        <w:t>AQRV Analysis Screening Results</w:t>
      </w:r>
    </w:p>
    <w:tbl>
      <w:tblPr>
        <w:tblStyle w:val="TableGrid"/>
        <w:tblW w:w="5307" w:type="pct"/>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701"/>
        <w:gridCol w:w="633"/>
        <w:gridCol w:w="887"/>
        <w:gridCol w:w="776"/>
        <w:gridCol w:w="679"/>
        <w:gridCol w:w="1710"/>
        <w:gridCol w:w="1800"/>
        <w:gridCol w:w="1440"/>
        <w:gridCol w:w="1888"/>
      </w:tblGrid>
      <w:tr w:rsidR="00FA598F" w:rsidRPr="0079123E" w:rsidTr="001C5B16">
        <w:trPr>
          <w:trHeight w:val="438"/>
          <w:jc w:val="center"/>
        </w:trPr>
        <w:tc>
          <w:tcPr>
            <w:tcW w:w="1748" w:type="pct"/>
            <w:gridSpan w:val="5"/>
            <w:tcBorders>
              <w:top w:val="single" w:sz="12" w:space="0" w:color="auto"/>
              <w:left w:val="single" w:sz="12" w:space="0" w:color="auto"/>
              <w:bottom w:val="single" w:sz="12" w:space="0" w:color="auto"/>
              <w:right w:val="single" w:sz="12" w:space="0" w:color="auto"/>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Potential Emissions Increase based on Maximum Allowable Emissions (</w:t>
            </w:r>
            <w:r w:rsidR="00BD4426">
              <w:rPr>
                <w:b/>
                <w:szCs w:val="22"/>
              </w:rPr>
              <w:t>TPY</w:t>
            </w:r>
            <w:r w:rsidRPr="00735D74">
              <w:rPr>
                <w:b/>
                <w:szCs w:val="22"/>
              </w:rPr>
              <w:t>)</w:t>
            </w:r>
          </w:p>
        </w:tc>
        <w:tc>
          <w:tcPr>
            <w:tcW w:w="813" w:type="pct"/>
            <w:vMerge w:val="restart"/>
            <w:tcBorders>
              <w:top w:val="single" w:sz="12" w:space="0" w:color="auto"/>
              <w:left w:val="single" w:sz="12" w:space="0" w:color="auto"/>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Class I Area</w:t>
            </w:r>
          </w:p>
        </w:tc>
        <w:tc>
          <w:tcPr>
            <w:tcW w:w="856" w:type="pct"/>
            <w:vMerge w:val="restart"/>
            <w:tcBorders>
              <w:top w:val="single" w:sz="12" w:space="0" w:color="auto"/>
              <w:left w:val="nil"/>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Minimum Distance in km (d)</w:t>
            </w:r>
          </w:p>
        </w:tc>
        <w:tc>
          <w:tcPr>
            <w:tcW w:w="685" w:type="pct"/>
            <w:vMerge w:val="restart"/>
            <w:tcBorders>
              <w:top w:val="single" w:sz="12" w:space="0" w:color="auto"/>
              <w:left w:val="nil"/>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FLAG Screening Ratio Q/d</w:t>
            </w:r>
          </w:p>
        </w:tc>
        <w:tc>
          <w:tcPr>
            <w:tcW w:w="898" w:type="pct"/>
            <w:vMerge w:val="restart"/>
            <w:tcBorders>
              <w:top w:val="single" w:sz="12" w:space="0" w:color="auto"/>
              <w:left w:val="nil"/>
              <w:right w:val="single" w:sz="12" w:space="0" w:color="auto"/>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AQRV Analysis Required?</w:t>
            </w:r>
          </w:p>
        </w:tc>
      </w:tr>
      <w:tr w:rsidR="001C5B16" w:rsidRPr="0079123E" w:rsidTr="001C5B16">
        <w:trPr>
          <w:trHeight w:val="50"/>
          <w:jc w:val="center"/>
        </w:trPr>
        <w:tc>
          <w:tcPr>
            <w:tcW w:w="333" w:type="pct"/>
            <w:tcBorders>
              <w:top w:val="single" w:sz="12" w:space="0" w:color="auto"/>
              <w:left w:val="single" w:sz="12" w:space="0" w:color="auto"/>
              <w:bottom w:val="single" w:sz="12" w:space="0" w:color="auto"/>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NO</w:t>
            </w:r>
            <w:r w:rsidRPr="00735D74">
              <w:rPr>
                <w:b/>
                <w:szCs w:val="22"/>
                <w:vertAlign w:val="subscript"/>
              </w:rPr>
              <w:t>x</w:t>
            </w:r>
          </w:p>
        </w:tc>
        <w:tc>
          <w:tcPr>
            <w:tcW w:w="301" w:type="pct"/>
            <w:tcBorders>
              <w:top w:val="single" w:sz="12" w:space="0" w:color="auto"/>
              <w:left w:val="nil"/>
              <w:bottom w:val="single" w:sz="12" w:space="0" w:color="auto"/>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SO</w:t>
            </w:r>
            <w:r w:rsidRPr="00735D74">
              <w:rPr>
                <w:b/>
                <w:szCs w:val="22"/>
                <w:vertAlign w:val="subscript"/>
              </w:rPr>
              <w:t>2</w:t>
            </w:r>
          </w:p>
        </w:tc>
        <w:tc>
          <w:tcPr>
            <w:tcW w:w="422" w:type="pct"/>
            <w:tcBorders>
              <w:top w:val="single" w:sz="12" w:space="0" w:color="auto"/>
              <w:left w:val="nil"/>
              <w:bottom w:val="single" w:sz="12" w:space="0" w:color="auto"/>
              <w:right w:val="nil"/>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SAM</w:t>
            </w:r>
          </w:p>
        </w:tc>
        <w:tc>
          <w:tcPr>
            <w:tcW w:w="369" w:type="pct"/>
            <w:tcBorders>
              <w:top w:val="single" w:sz="12" w:space="0" w:color="auto"/>
              <w:left w:val="nil"/>
              <w:bottom w:val="single" w:sz="12" w:space="0" w:color="auto"/>
              <w:right w:val="single" w:sz="4" w:space="0" w:color="auto"/>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PM</w:t>
            </w:r>
            <w:r w:rsidRPr="00735D74">
              <w:rPr>
                <w:b/>
                <w:szCs w:val="22"/>
                <w:vertAlign w:val="subscript"/>
              </w:rPr>
              <w:t>10</w:t>
            </w:r>
          </w:p>
        </w:tc>
        <w:tc>
          <w:tcPr>
            <w:tcW w:w="323" w:type="pct"/>
            <w:tcBorders>
              <w:top w:val="single" w:sz="12" w:space="0" w:color="auto"/>
              <w:left w:val="single" w:sz="4" w:space="0" w:color="auto"/>
              <w:bottom w:val="single" w:sz="12" w:space="0" w:color="auto"/>
              <w:right w:val="single" w:sz="12" w:space="0" w:color="auto"/>
            </w:tcBorders>
            <w:shd w:val="clear" w:color="auto" w:fill="B8CCE4"/>
            <w:vAlign w:val="center"/>
          </w:tcPr>
          <w:p w:rsidR="00FA598F" w:rsidRPr="00735D74" w:rsidRDefault="00FA598F" w:rsidP="00CF08C0">
            <w:pPr>
              <w:keepNext/>
              <w:keepLines/>
              <w:spacing w:before="40" w:after="40"/>
              <w:jc w:val="center"/>
              <w:rPr>
                <w:b/>
                <w:szCs w:val="22"/>
              </w:rPr>
            </w:pPr>
            <w:r w:rsidRPr="00735D74">
              <w:rPr>
                <w:b/>
                <w:szCs w:val="22"/>
              </w:rPr>
              <w:t>Total (Q)</w:t>
            </w:r>
          </w:p>
        </w:tc>
        <w:tc>
          <w:tcPr>
            <w:tcW w:w="813" w:type="pct"/>
            <w:vMerge/>
            <w:tcBorders>
              <w:left w:val="single" w:sz="12" w:space="0" w:color="auto"/>
              <w:bottom w:val="single" w:sz="12" w:space="0" w:color="auto"/>
              <w:right w:val="nil"/>
            </w:tcBorders>
            <w:shd w:val="clear" w:color="auto" w:fill="auto"/>
          </w:tcPr>
          <w:p w:rsidR="00FA598F" w:rsidRPr="00735D74" w:rsidRDefault="00FA598F" w:rsidP="00CF08C0">
            <w:pPr>
              <w:keepNext/>
              <w:keepLines/>
              <w:spacing w:before="40" w:after="40"/>
              <w:jc w:val="center"/>
              <w:rPr>
                <w:b/>
                <w:szCs w:val="22"/>
              </w:rPr>
            </w:pPr>
          </w:p>
        </w:tc>
        <w:tc>
          <w:tcPr>
            <w:tcW w:w="856" w:type="pct"/>
            <w:vMerge/>
            <w:tcBorders>
              <w:left w:val="nil"/>
              <w:bottom w:val="single" w:sz="12" w:space="0" w:color="auto"/>
              <w:right w:val="nil"/>
            </w:tcBorders>
            <w:shd w:val="clear" w:color="auto" w:fill="auto"/>
          </w:tcPr>
          <w:p w:rsidR="00FA598F" w:rsidRPr="00735D74" w:rsidRDefault="00FA598F" w:rsidP="00CF08C0">
            <w:pPr>
              <w:keepNext/>
              <w:keepLines/>
              <w:spacing w:before="40" w:after="40"/>
              <w:jc w:val="center"/>
              <w:rPr>
                <w:b/>
                <w:szCs w:val="22"/>
              </w:rPr>
            </w:pPr>
          </w:p>
        </w:tc>
        <w:tc>
          <w:tcPr>
            <w:tcW w:w="685" w:type="pct"/>
            <w:vMerge/>
            <w:tcBorders>
              <w:left w:val="nil"/>
              <w:bottom w:val="single" w:sz="12" w:space="0" w:color="auto"/>
              <w:right w:val="nil"/>
            </w:tcBorders>
            <w:shd w:val="clear" w:color="auto" w:fill="auto"/>
          </w:tcPr>
          <w:p w:rsidR="00FA598F" w:rsidRPr="00735D74" w:rsidRDefault="00FA598F" w:rsidP="00CF08C0">
            <w:pPr>
              <w:keepNext/>
              <w:keepLines/>
              <w:spacing w:before="40" w:after="40"/>
              <w:jc w:val="center"/>
              <w:rPr>
                <w:b/>
                <w:szCs w:val="22"/>
              </w:rPr>
            </w:pPr>
          </w:p>
        </w:tc>
        <w:tc>
          <w:tcPr>
            <w:tcW w:w="898" w:type="pct"/>
            <w:vMerge/>
            <w:tcBorders>
              <w:left w:val="nil"/>
              <w:bottom w:val="single" w:sz="12" w:space="0" w:color="auto"/>
              <w:right w:val="single" w:sz="12" w:space="0" w:color="auto"/>
            </w:tcBorders>
            <w:shd w:val="clear" w:color="auto" w:fill="auto"/>
          </w:tcPr>
          <w:p w:rsidR="00FA598F" w:rsidRPr="00735D74" w:rsidRDefault="00FA598F" w:rsidP="00CF08C0">
            <w:pPr>
              <w:keepNext/>
              <w:keepLines/>
              <w:spacing w:before="40" w:after="40"/>
              <w:jc w:val="center"/>
              <w:rPr>
                <w:b/>
                <w:szCs w:val="22"/>
              </w:rPr>
            </w:pPr>
          </w:p>
        </w:tc>
      </w:tr>
      <w:tr w:rsidR="001C5B16" w:rsidRPr="0079123E" w:rsidTr="001C5B16">
        <w:trPr>
          <w:trHeight w:val="291"/>
          <w:jc w:val="center"/>
        </w:trPr>
        <w:tc>
          <w:tcPr>
            <w:tcW w:w="333" w:type="pct"/>
            <w:vMerge w:val="restart"/>
            <w:tcBorders>
              <w:top w:val="single" w:sz="12" w:space="0" w:color="auto"/>
              <w:left w:val="single" w:sz="12" w:space="0" w:color="auto"/>
              <w:right w:val="nil"/>
            </w:tcBorders>
            <w:shd w:val="clear" w:color="auto" w:fill="auto"/>
            <w:vAlign w:val="center"/>
          </w:tcPr>
          <w:p w:rsidR="00FA598F" w:rsidRPr="00735D74" w:rsidRDefault="00FA598F" w:rsidP="00CF08C0">
            <w:pPr>
              <w:keepNext/>
              <w:keepLines/>
              <w:spacing w:before="40" w:after="40"/>
              <w:jc w:val="center"/>
              <w:rPr>
                <w:b/>
                <w:szCs w:val="22"/>
              </w:rPr>
            </w:pPr>
            <w:r w:rsidRPr="00735D74">
              <w:rPr>
                <w:szCs w:val="22"/>
              </w:rPr>
              <w:t>126.2</w:t>
            </w:r>
          </w:p>
        </w:tc>
        <w:tc>
          <w:tcPr>
            <w:tcW w:w="301" w:type="pct"/>
            <w:vMerge w:val="restart"/>
            <w:tcBorders>
              <w:top w:val="single" w:sz="12" w:space="0" w:color="auto"/>
              <w:left w:val="nil"/>
              <w:right w:val="nil"/>
            </w:tcBorders>
            <w:shd w:val="clear" w:color="auto" w:fill="auto"/>
            <w:vAlign w:val="center"/>
          </w:tcPr>
          <w:p w:rsidR="00FA598F" w:rsidRPr="00735D74" w:rsidRDefault="00FA598F" w:rsidP="00CF08C0">
            <w:pPr>
              <w:keepNext/>
              <w:keepLines/>
              <w:spacing w:before="40" w:after="40"/>
              <w:jc w:val="center"/>
              <w:rPr>
                <w:b/>
                <w:szCs w:val="22"/>
              </w:rPr>
            </w:pPr>
            <w:r w:rsidRPr="00735D74">
              <w:rPr>
                <w:szCs w:val="22"/>
              </w:rPr>
              <w:t>90.9</w:t>
            </w:r>
          </w:p>
        </w:tc>
        <w:tc>
          <w:tcPr>
            <w:tcW w:w="422" w:type="pct"/>
            <w:vMerge w:val="restart"/>
            <w:tcBorders>
              <w:top w:val="single" w:sz="12" w:space="0" w:color="auto"/>
              <w:left w:val="nil"/>
              <w:right w:val="nil"/>
            </w:tcBorders>
            <w:shd w:val="clear" w:color="auto" w:fill="auto"/>
            <w:vAlign w:val="center"/>
          </w:tcPr>
          <w:p w:rsidR="00FA598F" w:rsidRPr="00735D74" w:rsidRDefault="00FA598F" w:rsidP="00CF08C0">
            <w:pPr>
              <w:keepNext/>
              <w:keepLines/>
              <w:spacing w:before="40" w:after="40"/>
              <w:jc w:val="center"/>
              <w:rPr>
                <w:b/>
                <w:szCs w:val="22"/>
              </w:rPr>
            </w:pPr>
            <w:r w:rsidRPr="00735D74">
              <w:rPr>
                <w:szCs w:val="22"/>
              </w:rPr>
              <w:t>15.2</w:t>
            </w:r>
          </w:p>
        </w:tc>
        <w:tc>
          <w:tcPr>
            <w:tcW w:w="369" w:type="pct"/>
            <w:vMerge w:val="restart"/>
            <w:tcBorders>
              <w:top w:val="single" w:sz="12" w:space="0" w:color="auto"/>
              <w:left w:val="nil"/>
              <w:right w:val="single" w:sz="4" w:space="0" w:color="auto"/>
            </w:tcBorders>
            <w:shd w:val="clear" w:color="auto" w:fill="auto"/>
            <w:vAlign w:val="center"/>
          </w:tcPr>
          <w:p w:rsidR="00FA598F" w:rsidRPr="00735D74" w:rsidRDefault="00FA598F" w:rsidP="00CF08C0">
            <w:pPr>
              <w:keepNext/>
              <w:keepLines/>
              <w:spacing w:before="40" w:after="40"/>
              <w:jc w:val="center"/>
              <w:rPr>
                <w:b/>
                <w:szCs w:val="22"/>
              </w:rPr>
            </w:pPr>
            <w:r w:rsidRPr="00735D74">
              <w:rPr>
                <w:szCs w:val="22"/>
              </w:rPr>
              <w:t>63.1</w:t>
            </w:r>
          </w:p>
        </w:tc>
        <w:tc>
          <w:tcPr>
            <w:tcW w:w="323" w:type="pct"/>
            <w:vMerge w:val="restart"/>
            <w:tcBorders>
              <w:top w:val="single" w:sz="12" w:space="0" w:color="auto"/>
              <w:left w:val="single" w:sz="4" w:space="0" w:color="auto"/>
              <w:right w:val="single" w:sz="12" w:space="0" w:color="auto"/>
            </w:tcBorders>
            <w:shd w:val="clear" w:color="auto" w:fill="auto"/>
            <w:vAlign w:val="center"/>
          </w:tcPr>
          <w:p w:rsidR="00FA598F" w:rsidRPr="00735D74" w:rsidRDefault="00FA598F" w:rsidP="00CF08C0">
            <w:pPr>
              <w:keepNext/>
              <w:keepLines/>
              <w:spacing w:before="40" w:after="40"/>
              <w:jc w:val="center"/>
              <w:rPr>
                <w:b/>
                <w:szCs w:val="22"/>
              </w:rPr>
            </w:pPr>
            <w:r w:rsidRPr="00735D74">
              <w:rPr>
                <w:szCs w:val="22"/>
              </w:rPr>
              <w:t>295.4</w:t>
            </w:r>
          </w:p>
        </w:tc>
        <w:tc>
          <w:tcPr>
            <w:tcW w:w="813" w:type="pct"/>
            <w:tcBorders>
              <w:top w:val="single" w:sz="12" w:space="0" w:color="auto"/>
              <w:left w:val="single" w:sz="12" w:space="0" w:color="auto"/>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Everglades</w:t>
            </w:r>
          </w:p>
        </w:tc>
        <w:tc>
          <w:tcPr>
            <w:tcW w:w="856" w:type="pct"/>
            <w:tcBorders>
              <w:top w:val="single" w:sz="12"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295.3</w:t>
            </w:r>
          </w:p>
        </w:tc>
        <w:tc>
          <w:tcPr>
            <w:tcW w:w="685" w:type="pct"/>
            <w:tcBorders>
              <w:top w:val="single" w:sz="12"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1.0</w:t>
            </w:r>
          </w:p>
        </w:tc>
        <w:tc>
          <w:tcPr>
            <w:tcW w:w="898" w:type="pct"/>
            <w:tcBorders>
              <w:top w:val="single" w:sz="12" w:space="0" w:color="auto"/>
              <w:left w:val="nil"/>
              <w:bottom w:val="single" w:sz="4" w:space="0" w:color="auto"/>
              <w:right w:val="single" w:sz="12" w:space="0" w:color="auto"/>
            </w:tcBorders>
            <w:shd w:val="clear" w:color="auto" w:fill="auto"/>
          </w:tcPr>
          <w:p w:rsidR="00FA598F" w:rsidRPr="00735D74" w:rsidRDefault="00FA598F" w:rsidP="00CF08C0">
            <w:pPr>
              <w:keepNext/>
              <w:keepLines/>
              <w:spacing w:before="40" w:after="40"/>
              <w:jc w:val="center"/>
              <w:rPr>
                <w:szCs w:val="22"/>
              </w:rPr>
            </w:pPr>
            <w:r w:rsidRPr="00735D74">
              <w:rPr>
                <w:szCs w:val="22"/>
              </w:rPr>
              <w:t>No</w:t>
            </w:r>
          </w:p>
        </w:tc>
      </w:tr>
      <w:tr w:rsidR="001C5B16" w:rsidRPr="0079123E" w:rsidTr="001C5B16">
        <w:trPr>
          <w:trHeight w:val="259"/>
          <w:jc w:val="center"/>
        </w:trPr>
        <w:tc>
          <w:tcPr>
            <w:tcW w:w="333" w:type="pct"/>
            <w:vMerge/>
            <w:tcBorders>
              <w:left w:val="single" w:sz="12" w:space="0" w:color="auto"/>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01" w:type="pct"/>
            <w:vMerge/>
            <w:tcBorders>
              <w:left w:val="nil"/>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422" w:type="pct"/>
            <w:vMerge/>
            <w:tcBorders>
              <w:left w:val="nil"/>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69" w:type="pct"/>
            <w:vMerge/>
            <w:tcBorders>
              <w:left w:val="nil"/>
              <w:right w:val="single" w:sz="4"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23" w:type="pct"/>
            <w:vMerge/>
            <w:tcBorders>
              <w:left w:val="single" w:sz="4" w:space="0" w:color="auto"/>
              <w:right w:val="single" w:sz="12"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813" w:type="pct"/>
            <w:tcBorders>
              <w:top w:val="single" w:sz="4" w:space="0" w:color="auto"/>
              <w:left w:val="single" w:sz="12" w:space="0" w:color="auto"/>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Bradwell Bay</w:t>
            </w:r>
          </w:p>
        </w:tc>
        <w:tc>
          <w:tcPr>
            <w:tcW w:w="856" w:type="pct"/>
            <w:tcBorders>
              <w:top w:val="single" w:sz="4"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273.9</w:t>
            </w:r>
          </w:p>
        </w:tc>
        <w:tc>
          <w:tcPr>
            <w:tcW w:w="685" w:type="pct"/>
            <w:tcBorders>
              <w:top w:val="single" w:sz="4"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1.1</w:t>
            </w:r>
          </w:p>
        </w:tc>
        <w:tc>
          <w:tcPr>
            <w:tcW w:w="898" w:type="pct"/>
            <w:tcBorders>
              <w:top w:val="single" w:sz="4" w:space="0" w:color="auto"/>
              <w:left w:val="nil"/>
              <w:bottom w:val="single" w:sz="4" w:space="0" w:color="auto"/>
              <w:right w:val="single" w:sz="12" w:space="0" w:color="auto"/>
            </w:tcBorders>
            <w:shd w:val="clear" w:color="auto" w:fill="auto"/>
          </w:tcPr>
          <w:p w:rsidR="00FA598F" w:rsidRPr="00735D74" w:rsidRDefault="00FA598F" w:rsidP="00CF08C0">
            <w:pPr>
              <w:keepNext/>
              <w:keepLines/>
              <w:spacing w:before="40" w:after="40"/>
              <w:jc w:val="center"/>
              <w:rPr>
                <w:szCs w:val="22"/>
              </w:rPr>
            </w:pPr>
            <w:r w:rsidRPr="00735D74">
              <w:rPr>
                <w:szCs w:val="22"/>
              </w:rPr>
              <w:t>No</w:t>
            </w:r>
          </w:p>
        </w:tc>
      </w:tr>
      <w:tr w:rsidR="001C5B16" w:rsidRPr="0079123E" w:rsidTr="001C5B16">
        <w:trPr>
          <w:trHeight w:val="294"/>
          <w:jc w:val="center"/>
        </w:trPr>
        <w:tc>
          <w:tcPr>
            <w:tcW w:w="333" w:type="pct"/>
            <w:vMerge/>
            <w:tcBorders>
              <w:left w:val="single" w:sz="12" w:space="0" w:color="auto"/>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01" w:type="pct"/>
            <w:vMerge/>
            <w:tcBorders>
              <w:left w:val="nil"/>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422" w:type="pct"/>
            <w:vMerge/>
            <w:tcBorders>
              <w:left w:val="nil"/>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69" w:type="pct"/>
            <w:vMerge/>
            <w:tcBorders>
              <w:left w:val="nil"/>
              <w:right w:val="single" w:sz="4"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23" w:type="pct"/>
            <w:vMerge/>
            <w:tcBorders>
              <w:left w:val="single" w:sz="4" w:space="0" w:color="auto"/>
              <w:right w:val="single" w:sz="12"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813" w:type="pct"/>
            <w:tcBorders>
              <w:top w:val="single" w:sz="4" w:space="0" w:color="auto"/>
              <w:left w:val="single" w:sz="12" w:space="0" w:color="auto"/>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Okefenokee</w:t>
            </w:r>
          </w:p>
        </w:tc>
        <w:tc>
          <w:tcPr>
            <w:tcW w:w="856" w:type="pct"/>
            <w:tcBorders>
              <w:top w:val="single" w:sz="4"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244.4</w:t>
            </w:r>
          </w:p>
        </w:tc>
        <w:tc>
          <w:tcPr>
            <w:tcW w:w="685" w:type="pct"/>
            <w:tcBorders>
              <w:top w:val="single" w:sz="4" w:space="0" w:color="auto"/>
              <w:left w:val="nil"/>
              <w:bottom w:val="single" w:sz="4"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1.2</w:t>
            </w:r>
          </w:p>
        </w:tc>
        <w:tc>
          <w:tcPr>
            <w:tcW w:w="898" w:type="pct"/>
            <w:tcBorders>
              <w:top w:val="single" w:sz="4" w:space="0" w:color="auto"/>
              <w:left w:val="nil"/>
              <w:bottom w:val="single" w:sz="4" w:space="0" w:color="auto"/>
              <w:right w:val="single" w:sz="12" w:space="0" w:color="auto"/>
            </w:tcBorders>
            <w:shd w:val="clear" w:color="auto" w:fill="auto"/>
          </w:tcPr>
          <w:p w:rsidR="00FA598F" w:rsidRPr="00735D74" w:rsidRDefault="00FA598F" w:rsidP="00CF08C0">
            <w:pPr>
              <w:keepNext/>
              <w:keepLines/>
              <w:spacing w:before="40" w:after="40"/>
              <w:jc w:val="center"/>
              <w:rPr>
                <w:szCs w:val="22"/>
              </w:rPr>
            </w:pPr>
            <w:r w:rsidRPr="00735D74">
              <w:rPr>
                <w:szCs w:val="22"/>
              </w:rPr>
              <w:t>No</w:t>
            </w:r>
          </w:p>
        </w:tc>
      </w:tr>
      <w:tr w:rsidR="001C5B16" w:rsidRPr="0079123E" w:rsidTr="001C5B16">
        <w:trPr>
          <w:trHeight w:val="70"/>
          <w:jc w:val="center"/>
        </w:trPr>
        <w:tc>
          <w:tcPr>
            <w:tcW w:w="333" w:type="pct"/>
            <w:vMerge/>
            <w:tcBorders>
              <w:left w:val="single" w:sz="12" w:space="0" w:color="auto"/>
              <w:bottom w:val="single" w:sz="12" w:space="0" w:color="auto"/>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01" w:type="pct"/>
            <w:vMerge/>
            <w:tcBorders>
              <w:left w:val="nil"/>
              <w:bottom w:val="single" w:sz="12" w:space="0" w:color="auto"/>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422" w:type="pct"/>
            <w:vMerge/>
            <w:tcBorders>
              <w:left w:val="nil"/>
              <w:bottom w:val="single" w:sz="12" w:space="0" w:color="auto"/>
              <w:right w:val="nil"/>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69" w:type="pct"/>
            <w:vMerge/>
            <w:tcBorders>
              <w:left w:val="nil"/>
              <w:bottom w:val="single" w:sz="12" w:space="0" w:color="auto"/>
              <w:right w:val="single" w:sz="4"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323" w:type="pct"/>
            <w:vMerge/>
            <w:tcBorders>
              <w:left w:val="single" w:sz="4" w:space="0" w:color="auto"/>
              <w:bottom w:val="single" w:sz="12" w:space="0" w:color="auto"/>
              <w:right w:val="single" w:sz="12" w:space="0" w:color="auto"/>
            </w:tcBorders>
            <w:shd w:val="clear" w:color="auto" w:fill="auto"/>
            <w:vAlign w:val="center"/>
          </w:tcPr>
          <w:p w:rsidR="00FA598F" w:rsidRPr="00735D74" w:rsidRDefault="00FA598F" w:rsidP="00CF08C0">
            <w:pPr>
              <w:keepNext/>
              <w:keepLines/>
              <w:spacing w:before="40" w:after="40"/>
              <w:jc w:val="center"/>
              <w:rPr>
                <w:szCs w:val="22"/>
                <w:highlight w:val="yellow"/>
              </w:rPr>
            </w:pPr>
          </w:p>
        </w:tc>
        <w:tc>
          <w:tcPr>
            <w:tcW w:w="813" w:type="pct"/>
            <w:tcBorders>
              <w:top w:val="single" w:sz="4" w:space="0" w:color="auto"/>
              <w:left w:val="single" w:sz="12" w:space="0" w:color="auto"/>
              <w:bottom w:val="single" w:sz="12"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St. Marks</w:t>
            </w:r>
          </w:p>
        </w:tc>
        <w:tc>
          <w:tcPr>
            <w:tcW w:w="856" w:type="pct"/>
            <w:tcBorders>
              <w:top w:val="single" w:sz="4" w:space="0" w:color="auto"/>
              <w:left w:val="nil"/>
              <w:bottom w:val="single" w:sz="12"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234.3</w:t>
            </w:r>
          </w:p>
        </w:tc>
        <w:tc>
          <w:tcPr>
            <w:tcW w:w="685" w:type="pct"/>
            <w:tcBorders>
              <w:top w:val="single" w:sz="4" w:space="0" w:color="auto"/>
              <w:left w:val="nil"/>
              <w:bottom w:val="single" w:sz="12" w:space="0" w:color="auto"/>
              <w:right w:val="nil"/>
            </w:tcBorders>
            <w:shd w:val="clear" w:color="auto" w:fill="auto"/>
          </w:tcPr>
          <w:p w:rsidR="00FA598F" w:rsidRPr="00735D74" w:rsidRDefault="00FA598F" w:rsidP="00CF08C0">
            <w:pPr>
              <w:keepNext/>
              <w:keepLines/>
              <w:spacing w:before="40" w:after="40"/>
              <w:jc w:val="center"/>
              <w:rPr>
                <w:szCs w:val="22"/>
              </w:rPr>
            </w:pPr>
            <w:r w:rsidRPr="00735D74">
              <w:rPr>
                <w:szCs w:val="22"/>
              </w:rPr>
              <w:t>1.3</w:t>
            </w:r>
          </w:p>
        </w:tc>
        <w:tc>
          <w:tcPr>
            <w:tcW w:w="898" w:type="pct"/>
            <w:tcBorders>
              <w:top w:val="single" w:sz="4" w:space="0" w:color="auto"/>
              <w:left w:val="nil"/>
              <w:bottom w:val="single" w:sz="12" w:space="0" w:color="auto"/>
              <w:right w:val="single" w:sz="12" w:space="0" w:color="auto"/>
            </w:tcBorders>
            <w:shd w:val="clear" w:color="auto" w:fill="auto"/>
          </w:tcPr>
          <w:p w:rsidR="00FA598F" w:rsidRPr="00735D74" w:rsidRDefault="00FA598F" w:rsidP="00CF08C0">
            <w:pPr>
              <w:keepNext/>
              <w:keepLines/>
              <w:spacing w:before="40" w:after="40"/>
              <w:jc w:val="center"/>
              <w:rPr>
                <w:szCs w:val="22"/>
              </w:rPr>
            </w:pPr>
            <w:r w:rsidRPr="00735D74">
              <w:rPr>
                <w:szCs w:val="22"/>
              </w:rPr>
              <w:t>No</w:t>
            </w:r>
          </w:p>
        </w:tc>
      </w:tr>
    </w:tbl>
    <w:p w:rsidR="00EF6B10" w:rsidRPr="00C10F8C" w:rsidRDefault="00EF6B10" w:rsidP="00C10F8C">
      <w:pPr>
        <w:widowControl w:val="0"/>
        <w:numPr>
          <w:ilvl w:val="3"/>
          <w:numId w:val="3"/>
        </w:numPr>
        <w:spacing w:before="120" w:after="120"/>
        <w:ind w:left="720" w:hanging="720"/>
        <w:rPr>
          <w:sz w:val="22"/>
          <w:szCs w:val="22"/>
        </w:rPr>
      </w:pPr>
      <w:r w:rsidRPr="00EF6B10">
        <w:rPr>
          <w:i/>
          <w:sz w:val="22"/>
          <w:szCs w:val="22"/>
        </w:rPr>
        <w:t xml:space="preserve">Visibility </w:t>
      </w:r>
      <w:r w:rsidR="007204D0">
        <w:rPr>
          <w:i/>
          <w:sz w:val="22"/>
          <w:szCs w:val="22"/>
        </w:rPr>
        <w:t>A</w:t>
      </w:r>
      <w:r w:rsidRPr="00EF6B10">
        <w:rPr>
          <w:i/>
          <w:sz w:val="22"/>
          <w:szCs w:val="22"/>
        </w:rPr>
        <w:t>nalysis</w:t>
      </w:r>
    </w:p>
    <w:p w:rsidR="00EF6B10" w:rsidRPr="00EF6B10" w:rsidRDefault="00EF6B10" w:rsidP="00EF6B10">
      <w:pPr>
        <w:widowControl w:val="0"/>
        <w:spacing w:after="120"/>
        <w:rPr>
          <w:sz w:val="22"/>
          <w:szCs w:val="22"/>
        </w:rPr>
      </w:pPr>
      <w:r w:rsidRPr="00EF6B10">
        <w:rPr>
          <w:sz w:val="22"/>
          <w:szCs w:val="22"/>
        </w:rPr>
        <w:t>For distances within 50 km, visibility impairment may take the form of a distinct plume from the source. FLAG guidance requires the use of VISCREEN to assess plume impacts on visibility against a sky background and a terrain background, both looking into and out from the Class I area.</w:t>
      </w:r>
    </w:p>
    <w:p w:rsidR="00EF6B10" w:rsidRPr="00EF6B10" w:rsidRDefault="00EF6B10" w:rsidP="00EF6B10">
      <w:pPr>
        <w:widowControl w:val="0"/>
        <w:spacing w:after="120"/>
        <w:rPr>
          <w:sz w:val="22"/>
          <w:szCs w:val="22"/>
        </w:rPr>
      </w:pPr>
      <w:r w:rsidRPr="00EF6B10">
        <w:rPr>
          <w:sz w:val="22"/>
          <w:szCs w:val="22"/>
        </w:rPr>
        <w:t xml:space="preserve">In interpreting results from VISCREEN for CNWA, results looking out from the Class I area can be excluded because these results are only applicable in areas where an integral vista is being protected, and Florida has no integral vistas. The VISCREEN Workbook also indicates that it is reasonable to exclude results against a terrain background if there is no possibility of viewing distant terrain in the Class I area. As seen in </w:t>
      </w:r>
      <w:r w:rsidR="007C5838" w:rsidRPr="007C5838">
        <w:rPr>
          <w:rFonts w:ascii="Times New Roman Bold" w:hAnsi="Times New Roman Bold"/>
          <w:b/>
          <w:sz w:val="22"/>
          <w:szCs w:val="22"/>
        </w:rPr>
        <w:fldChar w:fldCharType="begin"/>
      </w:r>
      <w:r w:rsidR="007C5838" w:rsidRPr="007C5838">
        <w:rPr>
          <w:rFonts w:ascii="Times New Roman Bold" w:hAnsi="Times New Roman Bold"/>
          <w:b/>
          <w:sz w:val="22"/>
          <w:szCs w:val="22"/>
        </w:rPr>
        <w:instrText xml:space="preserve"> REF _Ref485728699 \h </w:instrText>
      </w:r>
      <w:r w:rsidR="007C5838">
        <w:rPr>
          <w:rFonts w:ascii="Times New Roman Bold" w:hAnsi="Times New Roman Bold"/>
          <w:b/>
          <w:sz w:val="22"/>
          <w:szCs w:val="22"/>
        </w:rPr>
        <w:instrText xml:space="preserve"> \* MERGEFORMAT </w:instrText>
      </w:r>
      <w:r w:rsidR="007C5838" w:rsidRPr="007C5838">
        <w:rPr>
          <w:rFonts w:ascii="Times New Roman Bold" w:hAnsi="Times New Roman Bold"/>
          <w:b/>
          <w:sz w:val="22"/>
          <w:szCs w:val="22"/>
        </w:rPr>
      </w:r>
      <w:r w:rsidR="007C5838" w:rsidRPr="007C5838">
        <w:rPr>
          <w:rFonts w:ascii="Times New Roman Bold" w:hAnsi="Times New Roman Bold"/>
          <w:b/>
          <w:sz w:val="22"/>
          <w:szCs w:val="22"/>
        </w:rPr>
        <w:fldChar w:fldCharType="separate"/>
      </w:r>
      <w:r w:rsidR="007C5838" w:rsidRPr="007C5838">
        <w:rPr>
          <w:rFonts w:ascii="Times New Roman Bold" w:hAnsi="Times New Roman Bold"/>
          <w:b/>
          <w:sz w:val="22"/>
          <w:szCs w:val="22"/>
        </w:rPr>
        <w:t xml:space="preserve">Figure </w:t>
      </w:r>
      <w:r w:rsidR="007C5838" w:rsidRPr="007C5838">
        <w:rPr>
          <w:rFonts w:ascii="Times New Roman Bold" w:hAnsi="Times New Roman Bold"/>
          <w:b/>
          <w:noProof/>
          <w:sz w:val="22"/>
          <w:szCs w:val="22"/>
        </w:rPr>
        <w:t>9</w:t>
      </w:r>
      <w:r w:rsidR="007C5838" w:rsidRPr="007C5838">
        <w:rPr>
          <w:rFonts w:ascii="Times New Roman Bold" w:hAnsi="Times New Roman Bold"/>
          <w:b/>
          <w:sz w:val="22"/>
          <w:szCs w:val="22"/>
        </w:rPr>
        <w:fldChar w:fldCharType="end"/>
      </w:r>
      <w:r w:rsidRPr="00EF6B10">
        <w:rPr>
          <w:sz w:val="22"/>
          <w:szCs w:val="22"/>
        </w:rPr>
        <w:t xml:space="preserve">, CNWA is in a coastal area with no terrain features, with most receptor points having an elevation ranging from zero to only five feet. </w:t>
      </w:r>
      <w:r w:rsidR="007C5838">
        <w:rPr>
          <w:sz w:val="22"/>
          <w:szCs w:val="22"/>
        </w:rPr>
        <w:t xml:space="preserve"> </w:t>
      </w:r>
      <w:r w:rsidRPr="00EF6B10">
        <w:rPr>
          <w:sz w:val="22"/>
          <w:szCs w:val="22"/>
        </w:rPr>
        <w:t>Therefore, it was determined that views of distant terrain are not possible at CNWA, and plume impacts against a terrain background are excluded.</w:t>
      </w:r>
    </w:p>
    <w:p w:rsidR="00EF6B10" w:rsidRPr="00EF6B10" w:rsidRDefault="00EF6B10" w:rsidP="00EF6B10">
      <w:pPr>
        <w:widowControl w:val="0"/>
        <w:spacing w:after="120"/>
        <w:rPr>
          <w:sz w:val="22"/>
          <w:szCs w:val="22"/>
        </w:rPr>
      </w:pPr>
      <w:r w:rsidRPr="00EF6B10">
        <w:rPr>
          <w:sz w:val="22"/>
          <w:szCs w:val="22"/>
        </w:rPr>
        <w:t>The applicant performed two levels of screening with VISCREEN to determine if there could be any significant impacts in the Class I area.</w:t>
      </w:r>
      <w:r w:rsidR="007C5838">
        <w:rPr>
          <w:sz w:val="22"/>
          <w:szCs w:val="22"/>
        </w:rPr>
        <w:t xml:space="preserve"> </w:t>
      </w:r>
      <w:r w:rsidRPr="00EF6B10">
        <w:rPr>
          <w:sz w:val="22"/>
          <w:szCs w:val="22"/>
        </w:rPr>
        <w:t xml:space="preserve"> Inputs to </w:t>
      </w:r>
      <w:bookmarkStart w:id="91" w:name="_Hlk510438960"/>
      <w:r w:rsidRPr="00EF6B10">
        <w:rPr>
          <w:sz w:val="22"/>
          <w:szCs w:val="22"/>
        </w:rPr>
        <w:t>VISCREEN</w:t>
      </w:r>
      <w:bookmarkEnd w:id="91"/>
      <w:r w:rsidRPr="00EF6B10">
        <w:rPr>
          <w:sz w:val="22"/>
          <w:szCs w:val="22"/>
        </w:rPr>
        <w:t xml:space="preserve"> are listed in</w:t>
      </w:r>
      <w:r w:rsidR="00C10F8C">
        <w:rPr>
          <w:sz w:val="22"/>
          <w:szCs w:val="22"/>
        </w:rPr>
        <w:t xml:space="preserve"> </w:t>
      </w:r>
      <w:r w:rsidR="00C10F8C" w:rsidRPr="00C10F8C">
        <w:rPr>
          <w:rFonts w:ascii="Times New Roman Bold" w:hAnsi="Times New Roman Bold"/>
          <w:b/>
          <w:sz w:val="22"/>
          <w:szCs w:val="22"/>
        </w:rPr>
        <w:fldChar w:fldCharType="begin"/>
      </w:r>
      <w:r w:rsidR="00C10F8C" w:rsidRPr="00C10F8C">
        <w:rPr>
          <w:rFonts w:ascii="Times New Roman Bold" w:hAnsi="Times New Roman Bold"/>
          <w:b/>
          <w:sz w:val="22"/>
          <w:szCs w:val="22"/>
        </w:rPr>
        <w:instrText xml:space="preserve"> REF _Ref513627051 \h </w:instrText>
      </w:r>
      <w:r w:rsidR="00C10F8C">
        <w:rPr>
          <w:rFonts w:ascii="Times New Roman Bold" w:hAnsi="Times New Roman Bold"/>
          <w:b/>
          <w:sz w:val="22"/>
          <w:szCs w:val="22"/>
        </w:rPr>
        <w:instrText xml:space="preserve"> \* MERGEFORMAT </w:instrText>
      </w:r>
      <w:r w:rsidR="00C10F8C" w:rsidRPr="00C10F8C">
        <w:rPr>
          <w:rFonts w:ascii="Times New Roman Bold" w:hAnsi="Times New Roman Bold"/>
          <w:b/>
          <w:sz w:val="22"/>
          <w:szCs w:val="22"/>
        </w:rPr>
      </w:r>
      <w:r w:rsidR="00C10F8C" w:rsidRPr="00C10F8C">
        <w:rPr>
          <w:rFonts w:ascii="Times New Roman Bold" w:hAnsi="Times New Roman Bold"/>
          <w:b/>
          <w:sz w:val="22"/>
          <w:szCs w:val="22"/>
        </w:rPr>
        <w:fldChar w:fldCharType="separate"/>
      </w:r>
      <w:r w:rsidR="00C10F8C" w:rsidRPr="00C10F8C">
        <w:rPr>
          <w:rFonts w:ascii="Times New Roman Bold" w:hAnsi="Times New Roman Bold"/>
          <w:b/>
          <w:sz w:val="22"/>
        </w:rPr>
        <w:t xml:space="preserve">Table </w:t>
      </w:r>
      <w:r w:rsidR="00C10F8C" w:rsidRPr="00C10F8C">
        <w:rPr>
          <w:rFonts w:ascii="Times New Roman Bold" w:hAnsi="Times New Roman Bold"/>
          <w:b/>
          <w:noProof/>
          <w:sz w:val="22"/>
        </w:rPr>
        <w:t>28</w:t>
      </w:r>
      <w:r w:rsidR="00C10F8C" w:rsidRPr="00C10F8C">
        <w:rPr>
          <w:rFonts w:ascii="Times New Roman Bold" w:hAnsi="Times New Roman Bold"/>
          <w:b/>
          <w:sz w:val="22"/>
          <w:szCs w:val="22"/>
        </w:rPr>
        <w:fldChar w:fldCharType="end"/>
      </w:r>
      <w:r w:rsidRPr="00EF6B10">
        <w:rPr>
          <w:sz w:val="22"/>
          <w:szCs w:val="22"/>
        </w:rPr>
        <w:t>.</w:t>
      </w:r>
    </w:p>
    <w:p w:rsidR="00A80050" w:rsidRDefault="00C10F8C" w:rsidP="00C10F8C">
      <w:pPr>
        <w:pStyle w:val="Caption"/>
        <w:spacing w:before="0"/>
        <w:jc w:val="center"/>
      </w:pPr>
      <w:bookmarkStart w:id="92" w:name="_Ref513627051"/>
      <w:r>
        <w:t xml:space="preserve">Table </w:t>
      </w:r>
      <w:fldSimple w:instr=" SEQ Table \* ARABIC ">
        <w:r w:rsidR="007204D0">
          <w:rPr>
            <w:noProof/>
          </w:rPr>
          <w:t>28</w:t>
        </w:r>
      </w:fldSimple>
      <w:bookmarkEnd w:id="92"/>
      <w:r>
        <w:t xml:space="preserve"> - </w:t>
      </w:r>
      <w:r w:rsidR="00A80050" w:rsidRPr="00A80050">
        <w:t>INPUTS USED IN VISCREEN FOR THE LEVEL 1 AND LEVEL 2 VISIBILITY ANALYSIS</w:t>
      </w:r>
      <w:r w:rsidR="00A80050">
        <w:t>.</w:t>
      </w:r>
    </w:p>
    <w:tbl>
      <w:tblPr>
        <w:tblW w:w="0" w:type="auto"/>
        <w:jc w:val="center"/>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2327"/>
        <w:gridCol w:w="827"/>
        <w:gridCol w:w="833"/>
        <w:gridCol w:w="833"/>
      </w:tblGrid>
      <w:tr w:rsidR="00A80050" w:rsidRPr="00A80050" w:rsidTr="00F6370B">
        <w:trPr>
          <w:tblHeader/>
          <w:jc w:val="center"/>
        </w:trPr>
        <w:tc>
          <w:tcPr>
            <w:tcW w:w="0" w:type="auto"/>
            <w:tcBorders>
              <w:top w:val="single" w:sz="12" w:space="0" w:color="auto"/>
              <w:left w:val="single" w:sz="12" w:space="0" w:color="auto"/>
              <w:bottom w:val="single" w:sz="12" w:space="0" w:color="auto"/>
              <w:right w:val="single" w:sz="4" w:space="0" w:color="auto"/>
            </w:tcBorders>
            <w:shd w:val="clear" w:color="auto" w:fill="B8CCE4"/>
            <w:vAlign w:val="center"/>
          </w:tcPr>
          <w:p w:rsidR="00A80050" w:rsidRPr="00A80050" w:rsidRDefault="00A80050" w:rsidP="00A80050">
            <w:pPr>
              <w:autoSpaceDE w:val="0"/>
              <w:autoSpaceDN w:val="0"/>
              <w:adjustRightInd w:val="0"/>
              <w:jc w:val="center"/>
              <w:rPr>
                <w:b/>
              </w:rPr>
            </w:pPr>
            <w:r w:rsidRPr="00A80050">
              <w:rPr>
                <w:b/>
              </w:rPr>
              <w:t>Model Input</w:t>
            </w:r>
          </w:p>
        </w:tc>
        <w:tc>
          <w:tcPr>
            <w:tcW w:w="0" w:type="auto"/>
            <w:tcBorders>
              <w:top w:val="single" w:sz="12" w:space="0" w:color="auto"/>
              <w:left w:val="single" w:sz="4" w:space="0" w:color="auto"/>
              <w:bottom w:val="single" w:sz="12" w:space="0" w:color="auto"/>
              <w:right w:val="nil"/>
            </w:tcBorders>
            <w:shd w:val="clear" w:color="auto" w:fill="B8CCE4"/>
            <w:vAlign w:val="center"/>
          </w:tcPr>
          <w:p w:rsidR="00A80050" w:rsidRPr="00A80050" w:rsidRDefault="00A80050" w:rsidP="00A80050">
            <w:pPr>
              <w:autoSpaceDE w:val="0"/>
              <w:autoSpaceDN w:val="0"/>
              <w:adjustRightInd w:val="0"/>
              <w:jc w:val="center"/>
              <w:rPr>
                <w:b/>
              </w:rPr>
            </w:pPr>
            <w:r w:rsidRPr="00A80050">
              <w:rPr>
                <w:b/>
              </w:rPr>
              <w:t>Units</w:t>
            </w:r>
          </w:p>
        </w:tc>
        <w:tc>
          <w:tcPr>
            <w:tcW w:w="0" w:type="auto"/>
            <w:tcBorders>
              <w:top w:val="single" w:sz="12" w:space="0" w:color="auto"/>
              <w:left w:val="nil"/>
              <w:bottom w:val="single" w:sz="12" w:space="0" w:color="auto"/>
              <w:right w:val="nil"/>
            </w:tcBorders>
            <w:shd w:val="clear" w:color="auto" w:fill="B8CCE4"/>
            <w:vAlign w:val="center"/>
          </w:tcPr>
          <w:p w:rsidR="00A80050" w:rsidRPr="00A80050" w:rsidRDefault="00A80050" w:rsidP="00A80050">
            <w:pPr>
              <w:autoSpaceDE w:val="0"/>
              <w:autoSpaceDN w:val="0"/>
              <w:adjustRightInd w:val="0"/>
              <w:jc w:val="center"/>
              <w:rPr>
                <w:b/>
              </w:rPr>
            </w:pPr>
            <w:r w:rsidRPr="00A80050">
              <w:rPr>
                <w:b/>
              </w:rPr>
              <w:t>Level 1</w:t>
            </w:r>
          </w:p>
        </w:tc>
        <w:tc>
          <w:tcPr>
            <w:tcW w:w="833" w:type="dxa"/>
            <w:tcBorders>
              <w:top w:val="single" w:sz="12" w:space="0" w:color="auto"/>
              <w:left w:val="nil"/>
              <w:bottom w:val="single" w:sz="12" w:space="0" w:color="auto"/>
              <w:right w:val="single" w:sz="12" w:space="0" w:color="auto"/>
            </w:tcBorders>
            <w:shd w:val="clear" w:color="auto" w:fill="B8CCE4"/>
            <w:vAlign w:val="center"/>
          </w:tcPr>
          <w:p w:rsidR="00A80050" w:rsidRPr="00A80050" w:rsidRDefault="00A80050" w:rsidP="00A80050">
            <w:pPr>
              <w:autoSpaceDE w:val="0"/>
              <w:autoSpaceDN w:val="0"/>
              <w:adjustRightInd w:val="0"/>
              <w:jc w:val="center"/>
              <w:rPr>
                <w:b/>
              </w:rPr>
            </w:pPr>
            <w:r w:rsidRPr="00A80050">
              <w:rPr>
                <w:b/>
              </w:rPr>
              <w:t>Level 2</w:t>
            </w:r>
          </w:p>
        </w:tc>
      </w:tr>
      <w:tr w:rsidR="00A80050" w:rsidRPr="00A80050" w:rsidTr="00F6370B">
        <w:trPr>
          <w:jc w:val="center"/>
        </w:trPr>
        <w:tc>
          <w:tcPr>
            <w:tcW w:w="0" w:type="auto"/>
            <w:tcBorders>
              <w:top w:val="single" w:sz="12" w:space="0" w:color="auto"/>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Particulates</w:t>
            </w:r>
          </w:p>
        </w:tc>
        <w:tc>
          <w:tcPr>
            <w:tcW w:w="0" w:type="auto"/>
            <w:tcBorders>
              <w:top w:val="single" w:sz="12" w:space="0" w:color="auto"/>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lb/hr</w:t>
            </w:r>
          </w:p>
        </w:tc>
        <w:tc>
          <w:tcPr>
            <w:tcW w:w="0" w:type="auto"/>
            <w:tcBorders>
              <w:top w:val="single" w:sz="12" w:space="0" w:color="auto"/>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14.8</w:t>
            </w:r>
          </w:p>
        </w:tc>
        <w:tc>
          <w:tcPr>
            <w:tcW w:w="833" w:type="dxa"/>
            <w:tcBorders>
              <w:top w:val="single" w:sz="12" w:space="0" w:color="auto"/>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14.8</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NO</w:t>
            </w:r>
            <w:r w:rsidRPr="00A80050">
              <w:rPr>
                <w:vertAlign w:val="subscript"/>
              </w:rPr>
              <w:t>X</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lb/hr</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28.1</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28.1</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Primary NO</w:t>
            </w:r>
            <w:r w:rsidRPr="00A80050">
              <w:rPr>
                <w:vertAlign w:val="subscript"/>
              </w:rPr>
              <w:t>2</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lb/hr</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0</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0</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Soot</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lb/hr</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0</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0</w:t>
            </w:r>
          </w:p>
        </w:tc>
      </w:tr>
      <w:tr w:rsidR="00A80050" w:rsidRPr="00A80050" w:rsidTr="00F6370B">
        <w:trPr>
          <w:jc w:val="center"/>
        </w:trPr>
        <w:tc>
          <w:tcPr>
            <w:tcW w:w="0" w:type="auto"/>
            <w:tcBorders>
              <w:top w:val="nil"/>
              <w:left w:val="single" w:sz="12" w:space="0" w:color="auto"/>
              <w:bottom w:val="single" w:sz="4" w:space="0" w:color="auto"/>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Primary SO</w:t>
            </w:r>
            <w:r w:rsidRPr="00A80050">
              <w:rPr>
                <w:vertAlign w:val="subscript"/>
              </w:rPr>
              <w:t>4</w:t>
            </w:r>
          </w:p>
        </w:tc>
        <w:tc>
          <w:tcPr>
            <w:tcW w:w="0" w:type="auto"/>
            <w:tcBorders>
              <w:top w:val="nil"/>
              <w:left w:val="single" w:sz="4" w:space="0" w:color="auto"/>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lb/hr</w:t>
            </w:r>
          </w:p>
        </w:tc>
        <w:tc>
          <w:tcPr>
            <w:tcW w:w="0" w:type="auto"/>
            <w:tcBorders>
              <w:top w:val="nil"/>
              <w:left w:val="nil"/>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4.0</w:t>
            </w:r>
          </w:p>
        </w:tc>
        <w:tc>
          <w:tcPr>
            <w:tcW w:w="833" w:type="dxa"/>
            <w:tcBorders>
              <w:top w:val="nil"/>
              <w:left w:val="nil"/>
              <w:bottom w:val="single" w:sz="4" w:space="0" w:color="auto"/>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4.0</w:t>
            </w:r>
          </w:p>
        </w:tc>
      </w:tr>
      <w:tr w:rsidR="00A80050" w:rsidRPr="00A80050" w:rsidTr="00F6370B">
        <w:trPr>
          <w:jc w:val="center"/>
        </w:trPr>
        <w:tc>
          <w:tcPr>
            <w:tcW w:w="0" w:type="auto"/>
            <w:tcBorders>
              <w:top w:val="single" w:sz="4" w:space="0" w:color="auto"/>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Distance to observer</w:t>
            </w:r>
          </w:p>
        </w:tc>
        <w:tc>
          <w:tcPr>
            <w:tcW w:w="0" w:type="auto"/>
            <w:tcBorders>
              <w:top w:val="single" w:sz="4" w:space="0" w:color="auto"/>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km</w:t>
            </w:r>
          </w:p>
        </w:tc>
        <w:tc>
          <w:tcPr>
            <w:tcW w:w="0" w:type="auto"/>
            <w:tcBorders>
              <w:top w:val="single" w:sz="4" w:space="0" w:color="auto"/>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28.2</w:t>
            </w:r>
          </w:p>
        </w:tc>
        <w:tc>
          <w:tcPr>
            <w:tcW w:w="833" w:type="dxa"/>
            <w:tcBorders>
              <w:top w:val="single" w:sz="4" w:space="0" w:color="auto"/>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28.2</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Distance to closest point</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km</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28.2</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28.2</w:t>
            </w:r>
          </w:p>
        </w:tc>
      </w:tr>
      <w:tr w:rsidR="00A80050" w:rsidRPr="00A80050" w:rsidTr="00F6370B">
        <w:trPr>
          <w:jc w:val="center"/>
        </w:trPr>
        <w:tc>
          <w:tcPr>
            <w:tcW w:w="0" w:type="auto"/>
            <w:tcBorders>
              <w:top w:val="nil"/>
              <w:left w:val="single" w:sz="12" w:space="0" w:color="auto"/>
              <w:bottom w:val="single" w:sz="4" w:space="0" w:color="auto"/>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Distance to farthest point</w:t>
            </w:r>
          </w:p>
        </w:tc>
        <w:tc>
          <w:tcPr>
            <w:tcW w:w="0" w:type="auto"/>
            <w:tcBorders>
              <w:top w:val="nil"/>
              <w:left w:val="single" w:sz="4" w:space="0" w:color="auto"/>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km</w:t>
            </w:r>
          </w:p>
        </w:tc>
        <w:tc>
          <w:tcPr>
            <w:tcW w:w="0" w:type="auto"/>
            <w:tcBorders>
              <w:top w:val="nil"/>
              <w:left w:val="nil"/>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46</w:t>
            </w:r>
          </w:p>
        </w:tc>
        <w:tc>
          <w:tcPr>
            <w:tcW w:w="833" w:type="dxa"/>
            <w:tcBorders>
              <w:top w:val="nil"/>
              <w:left w:val="nil"/>
              <w:bottom w:val="single" w:sz="4" w:space="0" w:color="auto"/>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46</w:t>
            </w:r>
          </w:p>
        </w:tc>
      </w:tr>
      <w:tr w:rsidR="00A80050" w:rsidRPr="00A80050" w:rsidTr="00F6370B">
        <w:trPr>
          <w:jc w:val="center"/>
        </w:trPr>
        <w:tc>
          <w:tcPr>
            <w:tcW w:w="0" w:type="auto"/>
            <w:tcBorders>
              <w:top w:val="single" w:sz="4" w:space="0" w:color="auto"/>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Background Visual Range</w:t>
            </w:r>
          </w:p>
        </w:tc>
        <w:tc>
          <w:tcPr>
            <w:tcW w:w="0" w:type="auto"/>
            <w:tcBorders>
              <w:top w:val="single" w:sz="4" w:space="0" w:color="auto"/>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km</w:t>
            </w:r>
          </w:p>
        </w:tc>
        <w:tc>
          <w:tcPr>
            <w:tcW w:w="0" w:type="auto"/>
            <w:tcBorders>
              <w:top w:val="single" w:sz="4" w:space="0" w:color="auto"/>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177.8</w:t>
            </w:r>
          </w:p>
        </w:tc>
        <w:tc>
          <w:tcPr>
            <w:tcW w:w="833" w:type="dxa"/>
            <w:tcBorders>
              <w:top w:val="single" w:sz="4" w:space="0" w:color="auto"/>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86.7</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Wind speed</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m/s</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1</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1</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Stability Index</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6 (F)</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6 (F)</w:t>
            </w:r>
          </w:p>
        </w:tc>
      </w:tr>
      <w:tr w:rsidR="00A80050" w:rsidRPr="00A80050" w:rsidTr="00F6370B">
        <w:trPr>
          <w:jc w:val="center"/>
        </w:trPr>
        <w:tc>
          <w:tcPr>
            <w:tcW w:w="0" w:type="auto"/>
            <w:tcBorders>
              <w:top w:val="nil"/>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Ozone Background</w:t>
            </w:r>
          </w:p>
        </w:tc>
        <w:tc>
          <w:tcPr>
            <w:tcW w:w="0" w:type="auto"/>
            <w:tcBorders>
              <w:top w:val="nil"/>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ppm</w:t>
            </w:r>
          </w:p>
        </w:tc>
        <w:tc>
          <w:tcPr>
            <w:tcW w:w="0" w:type="auto"/>
            <w:tcBorders>
              <w:top w:val="nil"/>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0.04</w:t>
            </w:r>
          </w:p>
        </w:tc>
        <w:tc>
          <w:tcPr>
            <w:tcW w:w="833" w:type="dxa"/>
            <w:tcBorders>
              <w:top w:val="nil"/>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0.04</w:t>
            </w:r>
          </w:p>
        </w:tc>
      </w:tr>
      <w:tr w:rsidR="00A80050" w:rsidRPr="00A80050" w:rsidTr="00F6370B">
        <w:trPr>
          <w:jc w:val="center"/>
        </w:trPr>
        <w:tc>
          <w:tcPr>
            <w:tcW w:w="0" w:type="auto"/>
            <w:tcBorders>
              <w:top w:val="nil"/>
              <w:left w:val="single" w:sz="12" w:space="0" w:color="auto"/>
              <w:bottom w:val="single" w:sz="4" w:space="0" w:color="auto"/>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Plume Offset Angle</w:t>
            </w:r>
          </w:p>
        </w:tc>
        <w:tc>
          <w:tcPr>
            <w:tcW w:w="0" w:type="auto"/>
            <w:tcBorders>
              <w:top w:val="nil"/>
              <w:left w:val="single" w:sz="4" w:space="0" w:color="auto"/>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degrees</w:t>
            </w:r>
          </w:p>
        </w:tc>
        <w:tc>
          <w:tcPr>
            <w:tcW w:w="0" w:type="auto"/>
            <w:tcBorders>
              <w:top w:val="nil"/>
              <w:left w:val="nil"/>
              <w:bottom w:val="single" w:sz="4" w:space="0" w:color="auto"/>
              <w:right w:val="nil"/>
            </w:tcBorders>
            <w:vAlign w:val="center"/>
          </w:tcPr>
          <w:p w:rsidR="00A80050" w:rsidRPr="00A80050" w:rsidRDefault="00A80050" w:rsidP="00A80050">
            <w:pPr>
              <w:autoSpaceDE w:val="0"/>
              <w:autoSpaceDN w:val="0"/>
              <w:adjustRightInd w:val="0"/>
              <w:spacing w:before="20" w:after="20"/>
              <w:jc w:val="center"/>
            </w:pPr>
            <w:r w:rsidRPr="00A80050">
              <w:t>11.25</w:t>
            </w:r>
          </w:p>
        </w:tc>
        <w:tc>
          <w:tcPr>
            <w:tcW w:w="833" w:type="dxa"/>
            <w:tcBorders>
              <w:top w:val="nil"/>
              <w:left w:val="nil"/>
              <w:bottom w:val="single" w:sz="4" w:space="0" w:color="auto"/>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11.25</w:t>
            </w:r>
          </w:p>
        </w:tc>
      </w:tr>
      <w:tr w:rsidR="00A80050" w:rsidRPr="00A80050" w:rsidTr="00F6370B">
        <w:trPr>
          <w:jc w:val="center"/>
        </w:trPr>
        <w:tc>
          <w:tcPr>
            <w:tcW w:w="0" w:type="auto"/>
            <w:tcBorders>
              <w:top w:val="single" w:sz="4" w:space="0" w:color="auto"/>
              <w:left w:val="single" w:sz="12" w:space="0" w:color="auto"/>
              <w:bottom w:val="nil"/>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Delta E threshold</w:t>
            </w:r>
          </w:p>
        </w:tc>
        <w:tc>
          <w:tcPr>
            <w:tcW w:w="0" w:type="auto"/>
            <w:tcBorders>
              <w:top w:val="single" w:sz="4" w:space="0" w:color="auto"/>
              <w:left w:val="single" w:sz="4" w:space="0" w:color="auto"/>
              <w:bottom w:val="nil"/>
              <w:right w:val="nil"/>
            </w:tcBorders>
            <w:vAlign w:val="center"/>
          </w:tcPr>
          <w:p w:rsidR="00A80050" w:rsidRPr="00A80050" w:rsidRDefault="00A80050" w:rsidP="00A80050">
            <w:pPr>
              <w:autoSpaceDE w:val="0"/>
              <w:autoSpaceDN w:val="0"/>
              <w:adjustRightInd w:val="0"/>
              <w:spacing w:before="20" w:after="20"/>
              <w:jc w:val="center"/>
            </w:pPr>
            <w:r w:rsidRPr="00A80050">
              <w:t>-</w:t>
            </w:r>
          </w:p>
        </w:tc>
        <w:tc>
          <w:tcPr>
            <w:tcW w:w="0" w:type="auto"/>
            <w:tcBorders>
              <w:top w:val="single" w:sz="4" w:space="0" w:color="auto"/>
              <w:left w:val="nil"/>
              <w:bottom w:val="nil"/>
              <w:right w:val="nil"/>
            </w:tcBorders>
            <w:vAlign w:val="center"/>
          </w:tcPr>
          <w:p w:rsidR="00A80050" w:rsidRPr="00A80050" w:rsidRDefault="00A80050" w:rsidP="00A80050">
            <w:pPr>
              <w:autoSpaceDE w:val="0"/>
              <w:autoSpaceDN w:val="0"/>
              <w:adjustRightInd w:val="0"/>
              <w:spacing w:before="20" w:after="20"/>
              <w:jc w:val="center"/>
            </w:pPr>
            <w:r w:rsidRPr="00A80050">
              <w:t>2.00</w:t>
            </w:r>
          </w:p>
        </w:tc>
        <w:tc>
          <w:tcPr>
            <w:tcW w:w="833" w:type="dxa"/>
            <w:tcBorders>
              <w:top w:val="single" w:sz="4" w:space="0" w:color="auto"/>
              <w:left w:val="nil"/>
              <w:bottom w:val="nil"/>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2.00</w:t>
            </w:r>
          </w:p>
        </w:tc>
      </w:tr>
      <w:tr w:rsidR="00A80050" w:rsidRPr="00A80050" w:rsidTr="00F6370B">
        <w:trPr>
          <w:trHeight w:val="80"/>
          <w:jc w:val="center"/>
        </w:trPr>
        <w:tc>
          <w:tcPr>
            <w:tcW w:w="0" w:type="auto"/>
            <w:tcBorders>
              <w:top w:val="nil"/>
              <w:left w:val="single" w:sz="12" w:space="0" w:color="auto"/>
              <w:bottom w:val="single" w:sz="12" w:space="0" w:color="auto"/>
              <w:right w:val="single" w:sz="4" w:space="0" w:color="auto"/>
            </w:tcBorders>
            <w:shd w:val="clear" w:color="auto" w:fill="FFFFFF"/>
            <w:vAlign w:val="center"/>
          </w:tcPr>
          <w:p w:rsidR="00A80050" w:rsidRPr="00A80050" w:rsidRDefault="00A80050" w:rsidP="00A80050">
            <w:pPr>
              <w:autoSpaceDE w:val="0"/>
              <w:autoSpaceDN w:val="0"/>
              <w:adjustRightInd w:val="0"/>
              <w:jc w:val="center"/>
            </w:pPr>
            <w:r w:rsidRPr="00A80050">
              <w:t>Green contrast threshold</w:t>
            </w:r>
          </w:p>
        </w:tc>
        <w:tc>
          <w:tcPr>
            <w:tcW w:w="0" w:type="auto"/>
            <w:tcBorders>
              <w:top w:val="nil"/>
              <w:left w:val="single" w:sz="4" w:space="0" w:color="auto"/>
              <w:bottom w:val="single" w:sz="12" w:space="0" w:color="auto"/>
              <w:right w:val="nil"/>
            </w:tcBorders>
            <w:vAlign w:val="center"/>
          </w:tcPr>
          <w:p w:rsidR="00A80050" w:rsidRPr="00A80050" w:rsidRDefault="00A80050" w:rsidP="00A80050">
            <w:pPr>
              <w:autoSpaceDE w:val="0"/>
              <w:autoSpaceDN w:val="0"/>
              <w:adjustRightInd w:val="0"/>
              <w:spacing w:before="20" w:after="20"/>
              <w:jc w:val="center"/>
            </w:pPr>
            <w:r w:rsidRPr="00A80050">
              <w:t>-</w:t>
            </w:r>
          </w:p>
        </w:tc>
        <w:tc>
          <w:tcPr>
            <w:tcW w:w="0" w:type="auto"/>
            <w:tcBorders>
              <w:top w:val="nil"/>
              <w:left w:val="nil"/>
              <w:bottom w:val="single" w:sz="12" w:space="0" w:color="auto"/>
              <w:right w:val="nil"/>
            </w:tcBorders>
            <w:vAlign w:val="center"/>
          </w:tcPr>
          <w:p w:rsidR="00A80050" w:rsidRPr="00A80050" w:rsidRDefault="00A80050" w:rsidP="00A80050">
            <w:pPr>
              <w:autoSpaceDE w:val="0"/>
              <w:autoSpaceDN w:val="0"/>
              <w:adjustRightInd w:val="0"/>
              <w:spacing w:before="20" w:after="20"/>
              <w:jc w:val="center"/>
            </w:pPr>
            <w:r w:rsidRPr="00A80050">
              <w:t>0.05</w:t>
            </w:r>
          </w:p>
        </w:tc>
        <w:tc>
          <w:tcPr>
            <w:tcW w:w="833" w:type="dxa"/>
            <w:tcBorders>
              <w:top w:val="nil"/>
              <w:left w:val="nil"/>
              <w:bottom w:val="single" w:sz="12" w:space="0" w:color="auto"/>
              <w:right w:val="single" w:sz="12" w:space="0" w:color="auto"/>
            </w:tcBorders>
            <w:vAlign w:val="center"/>
          </w:tcPr>
          <w:p w:rsidR="00A80050" w:rsidRPr="00A80050" w:rsidRDefault="00A80050" w:rsidP="00A80050">
            <w:pPr>
              <w:autoSpaceDE w:val="0"/>
              <w:autoSpaceDN w:val="0"/>
              <w:adjustRightInd w:val="0"/>
              <w:spacing w:before="20" w:after="20"/>
              <w:jc w:val="center"/>
            </w:pPr>
            <w:r w:rsidRPr="00A80050">
              <w:t>0.05</w:t>
            </w:r>
          </w:p>
        </w:tc>
      </w:tr>
    </w:tbl>
    <w:p w:rsidR="00C10F8C" w:rsidRPr="00EF6B10" w:rsidRDefault="00C10F8C" w:rsidP="00C10F8C">
      <w:pPr>
        <w:widowControl w:val="0"/>
        <w:spacing w:before="120" w:after="120"/>
        <w:rPr>
          <w:sz w:val="22"/>
          <w:szCs w:val="22"/>
        </w:rPr>
      </w:pPr>
      <w:bookmarkStart w:id="93" w:name="_Ref511657877"/>
      <w:r w:rsidRPr="00EF6B10">
        <w:rPr>
          <w:sz w:val="22"/>
          <w:szCs w:val="22"/>
        </w:rPr>
        <w:t>The Level 1 analysis assumes the worst possible dispersion condition (combination of wind speed and stability class), regardless of actual meteorology at the site.</w:t>
      </w:r>
      <w:r>
        <w:rPr>
          <w:sz w:val="22"/>
          <w:szCs w:val="22"/>
        </w:rPr>
        <w:t xml:space="preserve"> </w:t>
      </w:r>
      <w:r w:rsidRPr="00EF6B10">
        <w:rPr>
          <w:sz w:val="22"/>
          <w:szCs w:val="22"/>
        </w:rPr>
        <w:t xml:space="preserve"> Level 1 also assumes a conservative background visual range based on pristine conditions and the scattering angle and line of sight that would maximize plume impacts. </w:t>
      </w:r>
      <w:r>
        <w:rPr>
          <w:sz w:val="22"/>
          <w:szCs w:val="22"/>
        </w:rPr>
        <w:t xml:space="preserve"> </w:t>
      </w:r>
      <w:r w:rsidRPr="00EF6B10">
        <w:rPr>
          <w:sz w:val="22"/>
          <w:szCs w:val="22"/>
        </w:rPr>
        <w:t xml:space="preserve">The Department reviewed and verified all Level 1 analysis inputs. </w:t>
      </w:r>
      <w:r>
        <w:rPr>
          <w:sz w:val="22"/>
          <w:szCs w:val="22"/>
        </w:rPr>
        <w:t xml:space="preserve"> </w:t>
      </w:r>
      <w:r w:rsidRPr="00EF6B10">
        <w:rPr>
          <w:sz w:val="22"/>
          <w:szCs w:val="22"/>
        </w:rPr>
        <w:t>Results of the Level 1 analysis are shown in</w:t>
      </w:r>
      <w:r w:rsidR="007204D0">
        <w:rPr>
          <w:sz w:val="22"/>
          <w:szCs w:val="22"/>
        </w:rPr>
        <w:t xml:space="preserve"> </w:t>
      </w:r>
      <w:r w:rsidR="007204D0" w:rsidRPr="007204D0">
        <w:rPr>
          <w:rFonts w:ascii="Times New Roman Bold" w:hAnsi="Times New Roman Bold"/>
          <w:b/>
          <w:sz w:val="22"/>
          <w:szCs w:val="22"/>
        </w:rPr>
        <w:fldChar w:fldCharType="begin"/>
      </w:r>
      <w:r w:rsidR="007204D0" w:rsidRPr="007204D0">
        <w:rPr>
          <w:rFonts w:ascii="Times New Roman Bold" w:hAnsi="Times New Roman Bold"/>
          <w:b/>
          <w:sz w:val="22"/>
          <w:szCs w:val="22"/>
        </w:rPr>
        <w:instrText xml:space="preserve"> REF _Ref513627177 \h </w:instrText>
      </w:r>
      <w:r w:rsidR="007204D0">
        <w:rPr>
          <w:rFonts w:ascii="Times New Roman Bold" w:hAnsi="Times New Roman Bold"/>
          <w:b/>
          <w:sz w:val="22"/>
          <w:szCs w:val="22"/>
        </w:rPr>
        <w:instrText xml:space="preserve"> \* MERGEFORMAT </w:instrText>
      </w:r>
      <w:r w:rsidR="007204D0" w:rsidRPr="007204D0">
        <w:rPr>
          <w:rFonts w:ascii="Times New Roman Bold" w:hAnsi="Times New Roman Bold"/>
          <w:b/>
          <w:sz w:val="22"/>
          <w:szCs w:val="22"/>
        </w:rPr>
      </w:r>
      <w:r w:rsidR="007204D0" w:rsidRPr="007204D0">
        <w:rPr>
          <w:rFonts w:ascii="Times New Roman Bold" w:hAnsi="Times New Roman Bold"/>
          <w:b/>
          <w:sz w:val="22"/>
          <w:szCs w:val="22"/>
        </w:rPr>
        <w:fldChar w:fldCharType="separate"/>
      </w:r>
      <w:r w:rsidR="007204D0" w:rsidRPr="007204D0">
        <w:rPr>
          <w:rFonts w:ascii="Times New Roman Bold" w:hAnsi="Times New Roman Bold"/>
          <w:b/>
          <w:sz w:val="22"/>
        </w:rPr>
        <w:t xml:space="preserve">Table </w:t>
      </w:r>
      <w:r w:rsidR="007204D0" w:rsidRPr="007204D0">
        <w:rPr>
          <w:rFonts w:ascii="Times New Roman Bold" w:hAnsi="Times New Roman Bold"/>
          <w:b/>
          <w:noProof/>
          <w:sz w:val="22"/>
        </w:rPr>
        <w:t>29</w:t>
      </w:r>
      <w:r w:rsidR="007204D0" w:rsidRPr="007204D0">
        <w:rPr>
          <w:rFonts w:ascii="Times New Roman Bold" w:hAnsi="Times New Roman Bold"/>
          <w:b/>
          <w:sz w:val="22"/>
          <w:szCs w:val="22"/>
        </w:rPr>
        <w:fldChar w:fldCharType="end"/>
      </w:r>
      <w:r w:rsidRPr="00EF6B10">
        <w:rPr>
          <w:sz w:val="22"/>
          <w:szCs w:val="22"/>
        </w:rPr>
        <w:t xml:space="preserve">. </w:t>
      </w:r>
      <w:r>
        <w:rPr>
          <w:sz w:val="22"/>
          <w:szCs w:val="22"/>
        </w:rPr>
        <w:t xml:space="preserve"> </w:t>
      </w:r>
      <w:r w:rsidRPr="00EF6B10">
        <w:rPr>
          <w:sz w:val="22"/>
          <w:szCs w:val="22"/>
        </w:rPr>
        <w:t>Because there was an exceedance of the visibility criteria against a sky background, a Level 2 analysis was required.</w:t>
      </w:r>
    </w:p>
    <w:p w:rsidR="007D02A5" w:rsidRPr="007204D0" w:rsidRDefault="007204D0" w:rsidP="007204D0">
      <w:pPr>
        <w:pStyle w:val="Caption"/>
        <w:spacing w:before="0"/>
        <w:jc w:val="center"/>
        <w:rPr>
          <w:rFonts w:ascii="Times New Roman Bold" w:hAnsi="Times New Roman Bold"/>
          <w:szCs w:val="22"/>
        </w:rPr>
      </w:pPr>
      <w:bookmarkStart w:id="94" w:name="_Ref513627177"/>
      <w:bookmarkEnd w:id="93"/>
      <w:r w:rsidRPr="007204D0">
        <w:rPr>
          <w:rFonts w:ascii="Times New Roman Bold" w:hAnsi="Times New Roman Bold"/>
        </w:rPr>
        <w:t xml:space="preserve">Table </w:t>
      </w:r>
      <w:r w:rsidRPr="007204D0">
        <w:rPr>
          <w:rFonts w:ascii="Times New Roman Bold" w:hAnsi="Times New Roman Bold"/>
        </w:rPr>
        <w:fldChar w:fldCharType="begin"/>
      </w:r>
      <w:r w:rsidRPr="007204D0">
        <w:rPr>
          <w:rFonts w:ascii="Times New Roman Bold" w:hAnsi="Times New Roman Bold"/>
        </w:rPr>
        <w:instrText xml:space="preserve"> SEQ Table \* ARABIC </w:instrText>
      </w:r>
      <w:r w:rsidRPr="007204D0">
        <w:rPr>
          <w:rFonts w:ascii="Times New Roman Bold" w:hAnsi="Times New Roman Bold"/>
        </w:rPr>
        <w:fldChar w:fldCharType="separate"/>
      </w:r>
      <w:r>
        <w:rPr>
          <w:rFonts w:ascii="Times New Roman Bold" w:hAnsi="Times New Roman Bold"/>
          <w:noProof/>
        </w:rPr>
        <w:t>29</w:t>
      </w:r>
      <w:r w:rsidRPr="007204D0">
        <w:rPr>
          <w:rFonts w:ascii="Times New Roman Bold" w:hAnsi="Times New Roman Bold"/>
        </w:rPr>
        <w:fldChar w:fldCharType="end"/>
      </w:r>
      <w:bookmarkEnd w:id="94"/>
      <w:r w:rsidRPr="007204D0">
        <w:rPr>
          <w:rFonts w:ascii="Times New Roman Bold" w:hAnsi="Times New Roman Bold"/>
        </w:rPr>
        <w:t xml:space="preserve"> - </w:t>
      </w:r>
      <w:r w:rsidR="007D02A5" w:rsidRPr="007204D0">
        <w:rPr>
          <w:rFonts w:ascii="Times New Roman Bold" w:hAnsi="Times New Roman Bold"/>
          <w:szCs w:val="22"/>
        </w:rPr>
        <w:t>Level 1 and Level 2 VISCREEN Results.</w:t>
      </w:r>
    </w:p>
    <w:tbl>
      <w:tblPr>
        <w:tblW w:w="48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5"/>
        <w:gridCol w:w="1349"/>
        <w:gridCol w:w="803"/>
        <w:gridCol w:w="628"/>
        <w:gridCol w:w="990"/>
        <w:gridCol w:w="807"/>
        <w:gridCol w:w="1169"/>
        <w:gridCol w:w="809"/>
        <w:gridCol w:w="1167"/>
        <w:gridCol w:w="809"/>
      </w:tblGrid>
      <w:tr w:rsidR="008169EA" w:rsidRPr="004A2248" w:rsidTr="00A90A3B">
        <w:trPr>
          <w:cantSplit/>
          <w:trHeight w:val="20"/>
          <w:jc w:val="center"/>
        </w:trPr>
        <w:tc>
          <w:tcPr>
            <w:tcW w:w="518" w:type="pct"/>
            <w:vMerge w:val="restart"/>
            <w:tcBorders>
              <w:top w:val="single" w:sz="12" w:space="0" w:color="auto"/>
              <w:left w:val="single" w:sz="12" w:space="0" w:color="auto"/>
              <w:right w:val="single" w:sz="12" w:space="0" w:color="auto"/>
            </w:tcBorders>
            <w:shd w:val="clear" w:color="auto" w:fill="B8CCE4"/>
            <w:vAlign w:val="center"/>
          </w:tcPr>
          <w:p w:rsidR="008169EA" w:rsidRPr="004841B6" w:rsidRDefault="008169EA" w:rsidP="007204D0">
            <w:pPr>
              <w:autoSpaceDE w:val="0"/>
              <w:autoSpaceDN w:val="0"/>
              <w:adjustRightInd w:val="0"/>
              <w:jc w:val="center"/>
              <w:rPr>
                <w:b/>
              </w:rPr>
            </w:pPr>
            <w:r w:rsidRPr="004841B6">
              <w:rPr>
                <w:b/>
              </w:rPr>
              <w:t>Analysis</w:t>
            </w:r>
          </w:p>
        </w:tc>
        <w:tc>
          <w:tcPr>
            <w:tcW w:w="709" w:type="pct"/>
            <w:vMerge w:val="restart"/>
            <w:tcBorders>
              <w:top w:val="single" w:sz="12" w:space="0" w:color="auto"/>
              <w:left w:val="single" w:sz="12" w:space="0" w:color="auto"/>
              <w:right w:val="nil"/>
            </w:tcBorders>
            <w:shd w:val="clear" w:color="auto" w:fill="B8CCE4"/>
            <w:vAlign w:val="center"/>
          </w:tcPr>
          <w:p w:rsidR="008169EA" w:rsidRPr="004841B6" w:rsidRDefault="008169EA" w:rsidP="007204D0">
            <w:pPr>
              <w:autoSpaceDE w:val="0"/>
              <w:autoSpaceDN w:val="0"/>
              <w:adjustRightInd w:val="0"/>
              <w:jc w:val="center"/>
              <w:rPr>
                <w:b/>
              </w:rPr>
            </w:pPr>
            <w:r w:rsidRPr="004841B6">
              <w:rPr>
                <w:b/>
              </w:rPr>
              <w:t>Background</w:t>
            </w:r>
          </w:p>
        </w:tc>
        <w:tc>
          <w:tcPr>
            <w:tcW w:w="422" w:type="pct"/>
            <w:vMerge w:val="restart"/>
            <w:tcBorders>
              <w:top w:val="single" w:sz="12" w:space="0" w:color="auto"/>
              <w:left w:val="nil"/>
              <w:right w:val="nil"/>
            </w:tcBorders>
            <w:shd w:val="clear" w:color="auto" w:fill="B8CCE4"/>
            <w:vAlign w:val="center"/>
          </w:tcPr>
          <w:p w:rsidR="008169EA" w:rsidRDefault="008169EA" w:rsidP="007204D0">
            <w:pPr>
              <w:autoSpaceDE w:val="0"/>
              <w:autoSpaceDN w:val="0"/>
              <w:adjustRightInd w:val="0"/>
              <w:spacing w:before="20" w:after="20"/>
              <w:jc w:val="center"/>
              <w:rPr>
                <w:b/>
              </w:rPr>
            </w:pPr>
            <w:r>
              <w:rPr>
                <w:b/>
              </w:rPr>
              <w:t>Theta</w:t>
            </w:r>
            <w:r w:rsidRPr="00E669F2">
              <w:rPr>
                <w:b/>
                <w:vertAlign w:val="superscript"/>
              </w:rPr>
              <w:t>a</w:t>
            </w:r>
          </w:p>
        </w:tc>
        <w:tc>
          <w:tcPr>
            <w:tcW w:w="330" w:type="pct"/>
            <w:vMerge w:val="restart"/>
            <w:tcBorders>
              <w:top w:val="single" w:sz="12" w:space="0" w:color="auto"/>
              <w:left w:val="nil"/>
              <w:right w:val="nil"/>
            </w:tcBorders>
            <w:shd w:val="clear" w:color="auto" w:fill="B8CCE4"/>
            <w:vAlign w:val="center"/>
          </w:tcPr>
          <w:p w:rsidR="008169EA" w:rsidRDefault="008169EA" w:rsidP="007204D0">
            <w:pPr>
              <w:autoSpaceDE w:val="0"/>
              <w:autoSpaceDN w:val="0"/>
              <w:adjustRightInd w:val="0"/>
              <w:spacing w:before="20" w:after="20"/>
              <w:jc w:val="center"/>
              <w:rPr>
                <w:b/>
              </w:rPr>
            </w:pPr>
            <w:r>
              <w:rPr>
                <w:b/>
              </w:rPr>
              <w:t>Azi</w:t>
            </w:r>
            <w:r w:rsidRPr="00E669F2">
              <w:rPr>
                <w:b/>
                <w:vertAlign w:val="superscript"/>
              </w:rPr>
              <w:t>b</w:t>
            </w:r>
          </w:p>
        </w:tc>
        <w:tc>
          <w:tcPr>
            <w:tcW w:w="520" w:type="pct"/>
            <w:vMerge w:val="restart"/>
            <w:tcBorders>
              <w:top w:val="single" w:sz="12" w:space="0" w:color="auto"/>
              <w:left w:val="nil"/>
              <w:right w:val="nil"/>
            </w:tcBorders>
            <w:shd w:val="clear" w:color="auto" w:fill="B8CCE4"/>
            <w:vAlign w:val="center"/>
          </w:tcPr>
          <w:p w:rsidR="008169EA" w:rsidRDefault="008169EA" w:rsidP="007204D0">
            <w:pPr>
              <w:autoSpaceDE w:val="0"/>
              <w:autoSpaceDN w:val="0"/>
              <w:adjustRightInd w:val="0"/>
              <w:spacing w:before="20" w:after="20"/>
              <w:jc w:val="center"/>
              <w:rPr>
                <w:b/>
              </w:rPr>
            </w:pPr>
            <w:r>
              <w:rPr>
                <w:b/>
              </w:rPr>
              <w:t>Distance</w:t>
            </w:r>
          </w:p>
        </w:tc>
        <w:tc>
          <w:tcPr>
            <w:tcW w:w="424" w:type="pct"/>
            <w:vMerge w:val="restart"/>
            <w:tcBorders>
              <w:top w:val="single" w:sz="12" w:space="0" w:color="auto"/>
              <w:left w:val="nil"/>
              <w:right w:val="single" w:sz="4" w:space="0" w:color="auto"/>
            </w:tcBorders>
            <w:shd w:val="clear" w:color="auto" w:fill="B8CCE4"/>
            <w:vAlign w:val="center"/>
          </w:tcPr>
          <w:p w:rsidR="008169EA" w:rsidRDefault="008169EA" w:rsidP="007204D0">
            <w:pPr>
              <w:autoSpaceDE w:val="0"/>
              <w:autoSpaceDN w:val="0"/>
              <w:adjustRightInd w:val="0"/>
              <w:spacing w:before="20" w:after="20"/>
              <w:jc w:val="center"/>
              <w:rPr>
                <w:b/>
              </w:rPr>
            </w:pPr>
            <w:r>
              <w:rPr>
                <w:b/>
              </w:rPr>
              <w:t>Alpha</w:t>
            </w:r>
            <w:r w:rsidRPr="00E669F2">
              <w:rPr>
                <w:b/>
                <w:vertAlign w:val="superscript"/>
              </w:rPr>
              <w:t>c</w:t>
            </w:r>
          </w:p>
        </w:tc>
        <w:tc>
          <w:tcPr>
            <w:tcW w:w="1039" w:type="pct"/>
            <w:gridSpan w:val="2"/>
            <w:tcBorders>
              <w:top w:val="single" w:sz="12" w:space="0" w:color="auto"/>
              <w:left w:val="single" w:sz="4" w:space="0" w:color="auto"/>
              <w:bottom w:val="single" w:sz="4" w:space="0" w:color="auto"/>
              <w:right w:val="single" w:sz="4" w:space="0" w:color="auto"/>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Delta E</w:t>
            </w:r>
          </w:p>
        </w:tc>
        <w:tc>
          <w:tcPr>
            <w:tcW w:w="1038" w:type="pct"/>
            <w:gridSpan w:val="2"/>
            <w:tcBorders>
              <w:top w:val="single" w:sz="12" w:space="0" w:color="auto"/>
              <w:left w:val="single" w:sz="4" w:space="0" w:color="auto"/>
              <w:bottom w:val="single" w:sz="4" w:space="0" w:color="auto"/>
              <w:right w:val="single" w:sz="12" w:space="0" w:color="auto"/>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Contrast</w:t>
            </w:r>
          </w:p>
        </w:tc>
      </w:tr>
      <w:tr w:rsidR="008169EA" w:rsidRPr="004A2248" w:rsidTr="00A90A3B">
        <w:trPr>
          <w:cantSplit/>
          <w:trHeight w:val="20"/>
          <w:jc w:val="center"/>
        </w:trPr>
        <w:tc>
          <w:tcPr>
            <w:tcW w:w="518" w:type="pct"/>
            <w:vMerge/>
            <w:tcBorders>
              <w:left w:val="single" w:sz="12" w:space="0" w:color="auto"/>
              <w:bottom w:val="single" w:sz="12" w:space="0" w:color="auto"/>
              <w:right w:val="single" w:sz="12" w:space="0" w:color="auto"/>
            </w:tcBorders>
            <w:shd w:val="clear" w:color="auto" w:fill="B8CCE4"/>
            <w:vAlign w:val="center"/>
          </w:tcPr>
          <w:p w:rsidR="008169EA" w:rsidRPr="004841B6" w:rsidRDefault="008169EA" w:rsidP="007204D0">
            <w:pPr>
              <w:autoSpaceDE w:val="0"/>
              <w:autoSpaceDN w:val="0"/>
              <w:adjustRightInd w:val="0"/>
              <w:jc w:val="center"/>
              <w:rPr>
                <w:b/>
              </w:rPr>
            </w:pPr>
          </w:p>
        </w:tc>
        <w:tc>
          <w:tcPr>
            <w:tcW w:w="709" w:type="pct"/>
            <w:vMerge/>
            <w:tcBorders>
              <w:left w:val="single" w:sz="12" w:space="0" w:color="auto"/>
              <w:bottom w:val="single" w:sz="12" w:space="0" w:color="auto"/>
              <w:right w:val="nil"/>
            </w:tcBorders>
            <w:shd w:val="clear" w:color="auto" w:fill="B8CCE4"/>
            <w:vAlign w:val="center"/>
          </w:tcPr>
          <w:p w:rsidR="008169EA" w:rsidRPr="004841B6" w:rsidRDefault="008169EA" w:rsidP="007204D0">
            <w:pPr>
              <w:autoSpaceDE w:val="0"/>
              <w:autoSpaceDN w:val="0"/>
              <w:adjustRightInd w:val="0"/>
              <w:jc w:val="center"/>
              <w:rPr>
                <w:b/>
              </w:rPr>
            </w:pPr>
          </w:p>
        </w:tc>
        <w:tc>
          <w:tcPr>
            <w:tcW w:w="422" w:type="pct"/>
            <w:vMerge/>
            <w:tcBorders>
              <w:left w:val="nil"/>
              <w:bottom w:val="single" w:sz="12" w:space="0" w:color="auto"/>
              <w:right w:val="nil"/>
            </w:tcBorders>
            <w:shd w:val="clear" w:color="auto" w:fill="B8CCE4"/>
            <w:vAlign w:val="center"/>
          </w:tcPr>
          <w:p w:rsidR="008169EA" w:rsidRPr="004841B6" w:rsidRDefault="008169EA" w:rsidP="007204D0">
            <w:pPr>
              <w:autoSpaceDE w:val="0"/>
              <w:autoSpaceDN w:val="0"/>
              <w:adjustRightInd w:val="0"/>
              <w:spacing w:before="20" w:after="20"/>
              <w:jc w:val="center"/>
              <w:rPr>
                <w:b/>
              </w:rPr>
            </w:pPr>
          </w:p>
        </w:tc>
        <w:tc>
          <w:tcPr>
            <w:tcW w:w="330" w:type="pct"/>
            <w:vMerge/>
            <w:tcBorders>
              <w:left w:val="nil"/>
              <w:bottom w:val="single" w:sz="12" w:space="0" w:color="auto"/>
              <w:right w:val="nil"/>
            </w:tcBorders>
            <w:shd w:val="clear" w:color="auto" w:fill="B8CCE4"/>
            <w:vAlign w:val="center"/>
          </w:tcPr>
          <w:p w:rsidR="008169EA" w:rsidRPr="004841B6" w:rsidRDefault="008169EA" w:rsidP="007204D0">
            <w:pPr>
              <w:autoSpaceDE w:val="0"/>
              <w:autoSpaceDN w:val="0"/>
              <w:adjustRightInd w:val="0"/>
              <w:spacing w:before="20" w:after="20"/>
              <w:jc w:val="center"/>
              <w:rPr>
                <w:b/>
              </w:rPr>
            </w:pPr>
          </w:p>
        </w:tc>
        <w:tc>
          <w:tcPr>
            <w:tcW w:w="520" w:type="pct"/>
            <w:vMerge/>
            <w:tcBorders>
              <w:left w:val="nil"/>
              <w:bottom w:val="single" w:sz="12" w:space="0" w:color="auto"/>
              <w:right w:val="nil"/>
            </w:tcBorders>
            <w:shd w:val="clear" w:color="auto" w:fill="B8CCE4"/>
            <w:vAlign w:val="center"/>
          </w:tcPr>
          <w:p w:rsidR="008169EA" w:rsidRPr="004841B6" w:rsidRDefault="008169EA" w:rsidP="007204D0">
            <w:pPr>
              <w:autoSpaceDE w:val="0"/>
              <w:autoSpaceDN w:val="0"/>
              <w:adjustRightInd w:val="0"/>
              <w:spacing w:before="20" w:after="20"/>
              <w:jc w:val="center"/>
              <w:rPr>
                <w:b/>
              </w:rPr>
            </w:pPr>
          </w:p>
        </w:tc>
        <w:tc>
          <w:tcPr>
            <w:tcW w:w="424" w:type="pct"/>
            <w:vMerge/>
            <w:tcBorders>
              <w:left w:val="nil"/>
              <w:bottom w:val="single" w:sz="12" w:space="0" w:color="auto"/>
              <w:right w:val="single" w:sz="4" w:space="0" w:color="auto"/>
            </w:tcBorders>
            <w:shd w:val="clear" w:color="auto" w:fill="B8CCE4"/>
            <w:vAlign w:val="center"/>
          </w:tcPr>
          <w:p w:rsidR="008169EA" w:rsidRPr="004841B6" w:rsidRDefault="008169EA" w:rsidP="007204D0">
            <w:pPr>
              <w:autoSpaceDE w:val="0"/>
              <w:autoSpaceDN w:val="0"/>
              <w:adjustRightInd w:val="0"/>
              <w:spacing w:before="20" w:after="20"/>
              <w:jc w:val="center"/>
              <w:rPr>
                <w:b/>
              </w:rPr>
            </w:pPr>
          </w:p>
        </w:tc>
        <w:tc>
          <w:tcPr>
            <w:tcW w:w="614" w:type="pct"/>
            <w:tcBorders>
              <w:top w:val="single" w:sz="4" w:space="0" w:color="auto"/>
              <w:left w:val="single" w:sz="4" w:space="0" w:color="auto"/>
              <w:bottom w:val="single" w:sz="12" w:space="0" w:color="auto"/>
              <w:right w:val="nil"/>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Threshold</w:t>
            </w:r>
          </w:p>
        </w:tc>
        <w:tc>
          <w:tcPr>
            <w:tcW w:w="425" w:type="pct"/>
            <w:tcBorders>
              <w:top w:val="single" w:sz="4" w:space="0" w:color="auto"/>
              <w:left w:val="nil"/>
              <w:bottom w:val="single" w:sz="12" w:space="0" w:color="auto"/>
              <w:right w:val="single" w:sz="4" w:space="0" w:color="auto"/>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Plume</w:t>
            </w:r>
          </w:p>
        </w:tc>
        <w:tc>
          <w:tcPr>
            <w:tcW w:w="613" w:type="pct"/>
            <w:tcBorders>
              <w:top w:val="single" w:sz="4" w:space="0" w:color="auto"/>
              <w:left w:val="single" w:sz="4" w:space="0" w:color="auto"/>
              <w:bottom w:val="single" w:sz="12" w:space="0" w:color="auto"/>
              <w:right w:val="nil"/>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Threshold</w:t>
            </w:r>
          </w:p>
        </w:tc>
        <w:tc>
          <w:tcPr>
            <w:tcW w:w="425" w:type="pct"/>
            <w:tcBorders>
              <w:top w:val="single" w:sz="4" w:space="0" w:color="auto"/>
              <w:left w:val="nil"/>
              <w:bottom w:val="single" w:sz="12" w:space="0" w:color="auto"/>
              <w:right w:val="single" w:sz="12" w:space="0" w:color="auto"/>
            </w:tcBorders>
            <w:shd w:val="clear" w:color="auto" w:fill="B8CCE4"/>
            <w:vAlign w:val="center"/>
          </w:tcPr>
          <w:p w:rsidR="008169EA" w:rsidRPr="004841B6" w:rsidRDefault="008169EA" w:rsidP="007204D0">
            <w:pPr>
              <w:autoSpaceDE w:val="0"/>
              <w:autoSpaceDN w:val="0"/>
              <w:adjustRightInd w:val="0"/>
              <w:spacing w:before="20" w:after="20"/>
              <w:jc w:val="center"/>
              <w:rPr>
                <w:b/>
              </w:rPr>
            </w:pPr>
            <w:r>
              <w:rPr>
                <w:b/>
              </w:rPr>
              <w:t>Plume</w:t>
            </w:r>
          </w:p>
        </w:tc>
      </w:tr>
      <w:tr w:rsidR="00FA598F" w:rsidRPr="004A2248" w:rsidTr="00A90A3B">
        <w:trPr>
          <w:cantSplit/>
          <w:trHeight w:val="20"/>
          <w:jc w:val="center"/>
        </w:trPr>
        <w:tc>
          <w:tcPr>
            <w:tcW w:w="518" w:type="pct"/>
            <w:vMerge w:val="restart"/>
            <w:tcBorders>
              <w:top w:val="single" w:sz="12" w:space="0" w:color="auto"/>
              <w:left w:val="single" w:sz="12" w:space="0" w:color="auto"/>
              <w:right w:val="single" w:sz="12" w:space="0" w:color="auto"/>
            </w:tcBorders>
            <w:shd w:val="clear" w:color="auto" w:fill="B8CCE4"/>
            <w:vAlign w:val="center"/>
          </w:tcPr>
          <w:p w:rsidR="00FA598F" w:rsidRPr="004841B6" w:rsidRDefault="00FA598F" w:rsidP="007204D0">
            <w:pPr>
              <w:autoSpaceDE w:val="0"/>
              <w:autoSpaceDN w:val="0"/>
              <w:adjustRightInd w:val="0"/>
              <w:jc w:val="center"/>
              <w:rPr>
                <w:b/>
              </w:rPr>
            </w:pPr>
            <w:r w:rsidRPr="004841B6">
              <w:rPr>
                <w:b/>
              </w:rPr>
              <w:t>Level 1 Results</w:t>
            </w:r>
          </w:p>
        </w:tc>
        <w:tc>
          <w:tcPr>
            <w:tcW w:w="709" w:type="pct"/>
            <w:tcBorders>
              <w:top w:val="single" w:sz="12" w:space="0" w:color="auto"/>
              <w:left w:val="single" w:sz="12" w:space="0" w:color="auto"/>
              <w:bottom w:val="nil"/>
              <w:right w:val="nil"/>
            </w:tcBorders>
            <w:shd w:val="clear" w:color="auto" w:fill="FFFFFF" w:themeFill="background1"/>
            <w:vAlign w:val="center"/>
          </w:tcPr>
          <w:p w:rsidR="00FA598F" w:rsidRPr="005A2F7E" w:rsidRDefault="00FA598F" w:rsidP="007204D0">
            <w:pPr>
              <w:autoSpaceDE w:val="0"/>
              <w:autoSpaceDN w:val="0"/>
              <w:adjustRightInd w:val="0"/>
              <w:jc w:val="center"/>
            </w:pPr>
            <w:r>
              <w:t>Sky</w:t>
            </w:r>
          </w:p>
        </w:tc>
        <w:tc>
          <w:tcPr>
            <w:tcW w:w="422" w:type="pct"/>
            <w:tcBorders>
              <w:top w:val="single" w:sz="12" w:space="0" w:color="auto"/>
              <w:left w:val="nil"/>
              <w:bottom w:val="nil"/>
              <w:right w:val="nil"/>
            </w:tcBorders>
            <w:vAlign w:val="center"/>
          </w:tcPr>
          <w:p w:rsidR="00FA598F" w:rsidRDefault="00FA598F" w:rsidP="007204D0">
            <w:pPr>
              <w:autoSpaceDE w:val="0"/>
              <w:autoSpaceDN w:val="0"/>
              <w:adjustRightInd w:val="0"/>
              <w:spacing w:before="20" w:after="20"/>
              <w:jc w:val="center"/>
            </w:pPr>
            <w:r>
              <w:t>10</w:t>
            </w:r>
          </w:p>
        </w:tc>
        <w:tc>
          <w:tcPr>
            <w:tcW w:w="330" w:type="pct"/>
            <w:tcBorders>
              <w:top w:val="single" w:sz="12" w:space="0" w:color="auto"/>
              <w:left w:val="nil"/>
              <w:bottom w:val="nil"/>
              <w:right w:val="nil"/>
            </w:tcBorders>
            <w:vAlign w:val="center"/>
          </w:tcPr>
          <w:p w:rsidR="00FA598F" w:rsidRDefault="00FA598F" w:rsidP="007204D0">
            <w:pPr>
              <w:autoSpaceDE w:val="0"/>
              <w:autoSpaceDN w:val="0"/>
              <w:adjustRightInd w:val="0"/>
              <w:spacing w:before="20" w:after="20"/>
              <w:jc w:val="center"/>
            </w:pPr>
            <w:r>
              <w:t>152</w:t>
            </w:r>
          </w:p>
        </w:tc>
        <w:tc>
          <w:tcPr>
            <w:tcW w:w="520" w:type="pct"/>
            <w:tcBorders>
              <w:top w:val="single" w:sz="12" w:space="0" w:color="auto"/>
              <w:left w:val="nil"/>
              <w:bottom w:val="nil"/>
              <w:right w:val="nil"/>
            </w:tcBorders>
            <w:vAlign w:val="center"/>
          </w:tcPr>
          <w:p w:rsidR="00FA598F" w:rsidRPr="005A6793" w:rsidRDefault="00FA598F" w:rsidP="007204D0">
            <w:pPr>
              <w:autoSpaceDE w:val="0"/>
              <w:autoSpaceDN w:val="0"/>
              <w:adjustRightInd w:val="0"/>
              <w:spacing w:before="20" w:after="20"/>
              <w:jc w:val="center"/>
            </w:pPr>
            <w:r>
              <w:t>46.0</w:t>
            </w:r>
          </w:p>
        </w:tc>
        <w:tc>
          <w:tcPr>
            <w:tcW w:w="424" w:type="pct"/>
            <w:tcBorders>
              <w:top w:val="single" w:sz="12" w:space="0" w:color="auto"/>
              <w:left w:val="nil"/>
              <w:bottom w:val="nil"/>
              <w:right w:val="single" w:sz="4" w:space="0" w:color="auto"/>
            </w:tcBorders>
          </w:tcPr>
          <w:p w:rsidR="00FA598F" w:rsidRPr="005A6793" w:rsidRDefault="00FA598F" w:rsidP="007204D0">
            <w:pPr>
              <w:autoSpaceDE w:val="0"/>
              <w:autoSpaceDN w:val="0"/>
              <w:adjustRightInd w:val="0"/>
              <w:spacing w:before="20" w:after="20"/>
              <w:jc w:val="center"/>
            </w:pPr>
            <w:r>
              <w:t>17</w:t>
            </w:r>
          </w:p>
        </w:tc>
        <w:tc>
          <w:tcPr>
            <w:tcW w:w="614" w:type="pct"/>
            <w:tcBorders>
              <w:top w:val="single" w:sz="12" w:space="0" w:color="auto"/>
              <w:left w:val="single" w:sz="4" w:space="0" w:color="auto"/>
              <w:bottom w:val="nil"/>
              <w:right w:val="nil"/>
            </w:tcBorders>
          </w:tcPr>
          <w:p w:rsidR="00FA598F" w:rsidRPr="005A6793" w:rsidRDefault="00FA598F" w:rsidP="007204D0">
            <w:pPr>
              <w:autoSpaceDE w:val="0"/>
              <w:autoSpaceDN w:val="0"/>
              <w:adjustRightInd w:val="0"/>
              <w:spacing w:before="20" w:after="20"/>
              <w:jc w:val="center"/>
            </w:pPr>
            <w:r>
              <w:t>2</w:t>
            </w:r>
          </w:p>
        </w:tc>
        <w:tc>
          <w:tcPr>
            <w:tcW w:w="425" w:type="pct"/>
            <w:tcBorders>
              <w:top w:val="single" w:sz="12" w:space="0" w:color="auto"/>
              <w:left w:val="nil"/>
              <w:bottom w:val="nil"/>
              <w:right w:val="single" w:sz="4" w:space="0" w:color="auto"/>
            </w:tcBorders>
          </w:tcPr>
          <w:p w:rsidR="00FA598F" w:rsidRPr="004841B6" w:rsidRDefault="00FA598F" w:rsidP="007204D0">
            <w:pPr>
              <w:autoSpaceDE w:val="0"/>
              <w:autoSpaceDN w:val="0"/>
              <w:adjustRightInd w:val="0"/>
              <w:spacing w:before="20" w:after="20"/>
              <w:jc w:val="center"/>
              <w:rPr>
                <w:b/>
              </w:rPr>
            </w:pPr>
            <w:r>
              <w:rPr>
                <w:b/>
              </w:rPr>
              <w:t>3.172</w:t>
            </w:r>
          </w:p>
        </w:tc>
        <w:tc>
          <w:tcPr>
            <w:tcW w:w="613" w:type="pct"/>
            <w:tcBorders>
              <w:top w:val="single" w:sz="12" w:space="0" w:color="auto"/>
              <w:left w:val="single" w:sz="4" w:space="0" w:color="auto"/>
              <w:bottom w:val="nil"/>
              <w:right w:val="nil"/>
            </w:tcBorders>
          </w:tcPr>
          <w:p w:rsidR="00FA598F" w:rsidRPr="005A6793" w:rsidRDefault="00FA598F" w:rsidP="007204D0">
            <w:pPr>
              <w:autoSpaceDE w:val="0"/>
              <w:autoSpaceDN w:val="0"/>
              <w:adjustRightInd w:val="0"/>
              <w:spacing w:before="20" w:after="20"/>
              <w:jc w:val="center"/>
            </w:pPr>
            <w:r>
              <w:t>0.05</w:t>
            </w:r>
          </w:p>
        </w:tc>
        <w:tc>
          <w:tcPr>
            <w:tcW w:w="425" w:type="pct"/>
            <w:tcBorders>
              <w:top w:val="single" w:sz="12" w:space="0" w:color="auto"/>
              <w:left w:val="nil"/>
              <w:bottom w:val="nil"/>
              <w:right w:val="single" w:sz="12" w:space="0" w:color="auto"/>
            </w:tcBorders>
          </w:tcPr>
          <w:p w:rsidR="00FA598F" w:rsidRPr="00C7143F" w:rsidRDefault="00FA598F" w:rsidP="007204D0">
            <w:pPr>
              <w:autoSpaceDE w:val="0"/>
              <w:autoSpaceDN w:val="0"/>
              <w:adjustRightInd w:val="0"/>
              <w:spacing w:before="20" w:after="20"/>
              <w:jc w:val="center"/>
              <w:rPr>
                <w:b/>
              </w:rPr>
            </w:pPr>
            <w:r w:rsidRPr="00C7143F">
              <w:rPr>
                <w:b/>
              </w:rPr>
              <w:t>0.062</w:t>
            </w:r>
          </w:p>
        </w:tc>
      </w:tr>
      <w:tr w:rsidR="00FA598F" w:rsidRPr="004A2248" w:rsidTr="00A90A3B">
        <w:trPr>
          <w:cantSplit/>
          <w:trHeight w:val="20"/>
          <w:jc w:val="center"/>
        </w:trPr>
        <w:tc>
          <w:tcPr>
            <w:tcW w:w="518" w:type="pct"/>
            <w:vMerge/>
            <w:tcBorders>
              <w:left w:val="single" w:sz="12" w:space="0" w:color="auto"/>
              <w:right w:val="single" w:sz="12" w:space="0" w:color="auto"/>
            </w:tcBorders>
            <w:shd w:val="clear" w:color="auto" w:fill="B8CCE4"/>
          </w:tcPr>
          <w:p w:rsidR="00FA598F" w:rsidRPr="004841B6" w:rsidRDefault="00FA598F" w:rsidP="007204D0">
            <w:pPr>
              <w:autoSpaceDE w:val="0"/>
              <w:autoSpaceDN w:val="0"/>
              <w:adjustRightInd w:val="0"/>
              <w:jc w:val="center"/>
              <w:rPr>
                <w:b/>
              </w:rPr>
            </w:pPr>
          </w:p>
        </w:tc>
        <w:tc>
          <w:tcPr>
            <w:tcW w:w="709" w:type="pct"/>
            <w:tcBorders>
              <w:top w:val="nil"/>
              <w:left w:val="single" w:sz="12" w:space="0" w:color="auto"/>
              <w:bottom w:val="single" w:sz="4" w:space="0" w:color="auto"/>
              <w:right w:val="nil"/>
            </w:tcBorders>
            <w:shd w:val="clear" w:color="auto" w:fill="FFFFFF" w:themeFill="background1"/>
            <w:vAlign w:val="center"/>
          </w:tcPr>
          <w:p w:rsidR="00FA598F" w:rsidRPr="005A2F7E" w:rsidRDefault="00FA598F" w:rsidP="007204D0">
            <w:pPr>
              <w:autoSpaceDE w:val="0"/>
              <w:autoSpaceDN w:val="0"/>
              <w:adjustRightInd w:val="0"/>
              <w:jc w:val="center"/>
            </w:pPr>
            <w:r>
              <w:t>Sky</w:t>
            </w:r>
          </w:p>
        </w:tc>
        <w:tc>
          <w:tcPr>
            <w:tcW w:w="422" w:type="pct"/>
            <w:tcBorders>
              <w:top w:val="nil"/>
              <w:left w:val="nil"/>
              <w:bottom w:val="single" w:sz="4" w:space="0" w:color="auto"/>
              <w:right w:val="nil"/>
            </w:tcBorders>
            <w:vAlign w:val="center"/>
          </w:tcPr>
          <w:p w:rsidR="00FA598F" w:rsidRDefault="00FA598F" w:rsidP="007204D0">
            <w:pPr>
              <w:autoSpaceDE w:val="0"/>
              <w:autoSpaceDN w:val="0"/>
              <w:adjustRightInd w:val="0"/>
              <w:spacing w:before="20" w:after="20"/>
              <w:jc w:val="center"/>
            </w:pPr>
            <w:r>
              <w:t>140</w:t>
            </w:r>
          </w:p>
        </w:tc>
        <w:tc>
          <w:tcPr>
            <w:tcW w:w="330" w:type="pct"/>
            <w:tcBorders>
              <w:top w:val="nil"/>
              <w:left w:val="nil"/>
              <w:bottom w:val="single" w:sz="4" w:space="0" w:color="auto"/>
              <w:right w:val="nil"/>
            </w:tcBorders>
            <w:vAlign w:val="center"/>
          </w:tcPr>
          <w:p w:rsidR="00FA598F" w:rsidRDefault="00FA598F" w:rsidP="007204D0">
            <w:pPr>
              <w:autoSpaceDE w:val="0"/>
              <w:autoSpaceDN w:val="0"/>
              <w:adjustRightInd w:val="0"/>
              <w:spacing w:before="20" w:after="20"/>
              <w:jc w:val="center"/>
            </w:pPr>
            <w:r>
              <w:t>152</w:t>
            </w:r>
          </w:p>
        </w:tc>
        <w:tc>
          <w:tcPr>
            <w:tcW w:w="520" w:type="pct"/>
            <w:tcBorders>
              <w:top w:val="nil"/>
              <w:left w:val="nil"/>
              <w:bottom w:val="single" w:sz="4" w:space="0" w:color="auto"/>
              <w:right w:val="nil"/>
            </w:tcBorders>
            <w:vAlign w:val="center"/>
          </w:tcPr>
          <w:p w:rsidR="00FA598F" w:rsidRPr="005A6793" w:rsidRDefault="00FA598F" w:rsidP="007204D0">
            <w:pPr>
              <w:autoSpaceDE w:val="0"/>
              <w:autoSpaceDN w:val="0"/>
              <w:adjustRightInd w:val="0"/>
              <w:spacing w:before="20" w:after="20"/>
              <w:jc w:val="center"/>
            </w:pPr>
            <w:r>
              <w:t>46.0</w:t>
            </w:r>
          </w:p>
        </w:tc>
        <w:tc>
          <w:tcPr>
            <w:tcW w:w="424" w:type="pct"/>
            <w:tcBorders>
              <w:top w:val="nil"/>
              <w:left w:val="nil"/>
              <w:bottom w:val="single" w:sz="4" w:space="0" w:color="auto"/>
              <w:right w:val="single" w:sz="4" w:space="0" w:color="auto"/>
            </w:tcBorders>
          </w:tcPr>
          <w:p w:rsidR="00FA598F" w:rsidRPr="005A6793" w:rsidRDefault="00FA598F" w:rsidP="007204D0">
            <w:pPr>
              <w:autoSpaceDE w:val="0"/>
              <w:autoSpaceDN w:val="0"/>
              <w:adjustRightInd w:val="0"/>
              <w:spacing w:before="20" w:after="20"/>
              <w:jc w:val="center"/>
            </w:pPr>
            <w:r>
              <w:t>17</w:t>
            </w:r>
          </w:p>
        </w:tc>
        <w:tc>
          <w:tcPr>
            <w:tcW w:w="614" w:type="pct"/>
            <w:tcBorders>
              <w:top w:val="nil"/>
              <w:left w:val="single" w:sz="4" w:space="0" w:color="auto"/>
              <w:bottom w:val="single" w:sz="4" w:space="0" w:color="auto"/>
              <w:right w:val="nil"/>
            </w:tcBorders>
          </w:tcPr>
          <w:p w:rsidR="00FA598F" w:rsidRPr="005A6793" w:rsidRDefault="00FA598F" w:rsidP="007204D0">
            <w:pPr>
              <w:autoSpaceDE w:val="0"/>
              <w:autoSpaceDN w:val="0"/>
              <w:adjustRightInd w:val="0"/>
              <w:spacing w:before="20" w:after="20"/>
              <w:jc w:val="center"/>
            </w:pPr>
            <w:r>
              <w:t>2</w:t>
            </w:r>
          </w:p>
        </w:tc>
        <w:tc>
          <w:tcPr>
            <w:tcW w:w="425" w:type="pct"/>
            <w:tcBorders>
              <w:top w:val="nil"/>
              <w:left w:val="nil"/>
              <w:bottom w:val="single" w:sz="4" w:space="0" w:color="auto"/>
              <w:right w:val="single" w:sz="4" w:space="0" w:color="auto"/>
            </w:tcBorders>
          </w:tcPr>
          <w:p w:rsidR="00FA598F" w:rsidRPr="005A6793" w:rsidRDefault="00FA598F" w:rsidP="007204D0">
            <w:pPr>
              <w:autoSpaceDE w:val="0"/>
              <w:autoSpaceDN w:val="0"/>
              <w:adjustRightInd w:val="0"/>
              <w:spacing w:before="20" w:after="20"/>
              <w:jc w:val="center"/>
            </w:pPr>
            <w:r>
              <w:t>1.193</w:t>
            </w:r>
          </w:p>
        </w:tc>
        <w:tc>
          <w:tcPr>
            <w:tcW w:w="613" w:type="pct"/>
            <w:tcBorders>
              <w:top w:val="nil"/>
              <w:left w:val="single" w:sz="4" w:space="0" w:color="auto"/>
              <w:bottom w:val="single" w:sz="4" w:space="0" w:color="auto"/>
              <w:right w:val="nil"/>
            </w:tcBorders>
          </w:tcPr>
          <w:p w:rsidR="00FA598F" w:rsidRPr="005A6793" w:rsidRDefault="00FA598F" w:rsidP="007204D0">
            <w:pPr>
              <w:autoSpaceDE w:val="0"/>
              <w:autoSpaceDN w:val="0"/>
              <w:adjustRightInd w:val="0"/>
              <w:spacing w:before="20" w:after="20"/>
              <w:jc w:val="center"/>
            </w:pPr>
            <w:r>
              <w:t>0.05</w:t>
            </w:r>
          </w:p>
        </w:tc>
        <w:tc>
          <w:tcPr>
            <w:tcW w:w="425" w:type="pct"/>
            <w:tcBorders>
              <w:top w:val="nil"/>
              <w:left w:val="nil"/>
              <w:bottom w:val="single" w:sz="4" w:space="0" w:color="auto"/>
              <w:right w:val="single" w:sz="12" w:space="0" w:color="auto"/>
            </w:tcBorders>
          </w:tcPr>
          <w:p w:rsidR="00FA598F" w:rsidRPr="005A6793" w:rsidRDefault="00FA598F" w:rsidP="007204D0">
            <w:pPr>
              <w:autoSpaceDE w:val="0"/>
              <w:autoSpaceDN w:val="0"/>
              <w:adjustRightInd w:val="0"/>
              <w:spacing w:before="20" w:after="20"/>
              <w:jc w:val="center"/>
            </w:pPr>
            <w:r>
              <w:t>-0.040</w:t>
            </w:r>
          </w:p>
        </w:tc>
      </w:tr>
      <w:tr w:rsidR="00FA598F" w:rsidRPr="004A2248" w:rsidTr="00A90A3B">
        <w:trPr>
          <w:cantSplit/>
          <w:trHeight w:val="20"/>
          <w:jc w:val="center"/>
        </w:trPr>
        <w:tc>
          <w:tcPr>
            <w:tcW w:w="518" w:type="pct"/>
            <w:vMerge w:val="restart"/>
            <w:tcBorders>
              <w:left w:val="single" w:sz="12" w:space="0" w:color="auto"/>
              <w:right w:val="single" w:sz="12" w:space="0" w:color="auto"/>
            </w:tcBorders>
            <w:shd w:val="clear" w:color="auto" w:fill="B8CCE4"/>
            <w:vAlign w:val="center"/>
          </w:tcPr>
          <w:p w:rsidR="00FA598F" w:rsidRPr="004841B6" w:rsidRDefault="00FA598F" w:rsidP="007204D0">
            <w:pPr>
              <w:autoSpaceDE w:val="0"/>
              <w:autoSpaceDN w:val="0"/>
              <w:adjustRightInd w:val="0"/>
              <w:jc w:val="center"/>
              <w:rPr>
                <w:b/>
              </w:rPr>
            </w:pPr>
            <w:r w:rsidRPr="004841B6">
              <w:rPr>
                <w:b/>
              </w:rPr>
              <w:t>Level 2 Results</w:t>
            </w:r>
          </w:p>
        </w:tc>
        <w:tc>
          <w:tcPr>
            <w:tcW w:w="709" w:type="pct"/>
            <w:tcBorders>
              <w:top w:val="single" w:sz="4" w:space="0" w:color="auto"/>
              <w:left w:val="single" w:sz="12" w:space="0" w:color="auto"/>
              <w:bottom w:val="nil"/>
              <w:right w:val="nil"/>
            </w:tcBorders>
            <w:shd w:val="clear" w:color="auto" w:fill="FFFFFF" w:themeFill="background1"/>
            <w:vAlign w:val="center"/>
          </w:tcPr>
          <w:p w:rsidR="00FA598F" w:rsidRPr="005A2F7E" w:rsidRDefault="00FA598F" w:rsidP="007204D0">
            <w:pPr>
              <w:autoSpaceDE w:val="0"/>
              <w:autoSpaceDN w:val="0"/>
              <w:adjustRightInd w:val="0"/>
              <w:jc w:val="center"/>
            </w:pPr>
            <w:r>
              <w:t>Sky</w:t>
            </w:r>
          </w:p>
        </w:tc>
        <w:tc>
          <w:tcPr>
            <w:tcW w:w="422" w:type="pct"/>
            <w:tcBorders>
              <w:top w:val="single" w:sz="4" w:space="0" w:color="auto"/>
              <w:left w:val="nil"/>
              <w:bottom w:val="nil"/>
              <w:right w:val="nil"/>
            </w:tcBorders>
            <w:vAlign w:val="center"/>
          </w:tcPr>
          <w:p w:rsidR="00FA598F" w:rsidRDefault="00FA598F" w:rsidP="007204D0">
            <w:pPr>
              <w:autoSpaceDE w:val="0"/>
              <w:autoSpaceDN w:val="0"/>
              <w:adjustRightInd w:val="0"/>
              <w:spacing w:before="20" w:after="20"/>
              <w:jc w:val="center"/>
            </w:pPr>
            <w:r>
              <w:t>10</w:t>
            </w:r>
          </w:p>
        </w:tc>
        <w:tc>
          <w:tcPr>
            <w:tcW w:w="330" w:type="pct"/>
            <w:tcBorders>
              <w:top w:val="single" w:sz="4" w:space="0" w:color="auto"/>
              <w:left w:val="nil"/>
              <w:bottom w:val="nil"/>
              <w:right w:val="nil"/>
            </w:tcBorders>
            <w:vAlign w:val="center"/>
          </w:tcPr>
          <w:p w:rsidR="00FA598F" w:rsidRDefault="00FA598F" w:rsidP="007204D0">
            <w:pPr>
              <w:autoSpaceDE w:val="0"/>
              <w:autoSpaceDN w:val="0"/>
              <w:adjustRightInd w:val="0"/>
              <w:spacing w:before="20" w:after="20"/>
              <w:jc w:val="center"/>
            </w:pPr>
            <w:r>
              <w:t>150</w:t>
            </w:r>
          </w:p>
        </w:tc>
        <w:tc>
          <w:tcPr>
            <w:tcW w:w="520" w:type="pct"/>
            <w:tcBorders>
              <w:top w:val="single" w:sz="4" w:space="0" w:color="auto"/>
              <w:left w:val="nil"/>
              <w:bottom w:val="nil"/>
              <w:right w:val="nil"/>
            </w:tcBorders>
            <w:vAlign w:val="center"/>
          </w:tcPr>
          <w:p w:rsidR="00FA598F" w:rsidRPr="005A6793" w:rsidRDefault="00FA598F" w:rsidP="007204D0">
            <w:pPr>
              <w:autoSpaceDE w:val="0"/>
              <w:autoSpaceDN w:val="0"/>
              <w:adjustRightInd w:val="0"/>
              <w:spacing w:before="20" w:after="20"/>
              <w:jc w:val="center"/>
            </w:pPr>
            <w:r>
              <w:t>43.9</w:t>
            </w:r>
          </w:p>
        </w:tc>
        <w:tc>
          <w:tcPr>
            <w:tcW w:w="424" w:type="pct"/>
            <w:tcBorders>
              <w:top w:val="single" w:sz="4" w:space="0" w:color="auto"/>
              <w:left w:val="nil"/>
              <w:bottom w:val="nil"/>
              <w:right w:val="single" w:sz="4" w:space="0" w:color="auto"/>
            </w:tcBorders>
          </w:tcPr>
          <w:p w:rsidR="00FA598F" w:rsidRPr="005A6793" w:rsidRDefault="00FA598F" w:rsidP="007204D0">
            <w:pPr>
              <w:autoSpaceDE w:val="0"/>
              <w:autoSpaceDN w:val="0"/>
              <w:adjustRightInd w:val="0"/>
              <w:spacing w:before="20" w:after="20"/>
              <w:jc w:val="center"/>
            </w:pPr>
            <w:r>
              <w:t>19</w:t>
            </w:r>
          </w:p>
        </w:tc>
        <w:tc>
          <w:tcPr>
            <w:tcW w:w="614" w:type="pct"/>
            <w:tcBorders>
              <w:top w:val="single" w:sz="4" w:space="0" w:color="auto"/>
              <w:left w:val="single" w:sz="4" w:space="0" w:color="auto"/>
              <w:bottom w:val="nil"/>
              <w:right w:val="nil"/>
            </w:tcBorders>
          </w:tcPr>
          <w:p w:rsidR="00FA598F" w:rsidRPr="005A6793" w:rsidRDefault="00FA598F" w:rsidP="007204D0">
            <w:pPr>
              <w:autoSpaceDE w:val="0"/>
              <w:autoSpaceDN w:val="0"/>
              <w:adjustRightInd w:val="0"/>
              <w:spacing w:before="20" w:after="20"/>
              <w:jc w:val="center"/>
            </w:pPr>
            <w:r>
              <w:t>2</w:t>
            </w:r>
          </w:p>
        </w:tc>
        <w:tc>
          <w:tcPr>
            <w:tcW w:w="425" w:type="pct"/>
            <w:tcBorders>
              <w:top w:val="single" w:sz="4" w:space="0" w:color="auto"/>
              <w:left w:val="nil"/>
              <w:bottom w:val="nil"/>
              <w:right w:val="single" w:sz="4" w:space="0" w:color="auto"/>
            </w:tcBorders>
          </w:tcPr>
          <w:p w:rsidR="00FA598F" w:rsidRPr="005A6793" w:rsidRDefault="00FA598F" w:rsidP="007204D0">
            <w:pPr>
              <w:autoSpaceDE w:val="0"/>
              <w:autoSpaceDN w:val="0"/>
              <w:adjustRightInd w:val="0"/>
              <w:spacing w:before="20" w:after="20"/>
              <w:jc w:val="center"/>
            </w:pPr>
            <w:r>
              <w:t>1.261</w:t>
            </w:r>
          </w:p>
        </w:tc>
        <w:tc>
          <w:tcPr>
            <w:tcW w:w="613" w:type="pct"/>
            <w:tcBorders>
              <w:top w:val="single" w:sz="4" w:space="0" w:color="auto"/>
              <w:left w:val="single" w:sz="4" w:space="0" w:color="auto"/>
              <w:bottom w:val="nil"/>
              <w:right w:val="nil"/>
            </w:tcBorders>
          </w:tcPr>
          <w:p w:rsidR="00FA598F" w:rsidRPr="005A6793" w:rsidRDefault="00FA598F" w:rsidP="007204D0">
            <w:pPr>
              <w:autoSpaceDE w:val="0"/>
              <w:autoSpaceDN w:val="0"/>
              <w:adjustRightInd w:val="0"/>
              <w:spacing w:before="20" w:after="20"/>
              <w:jc w:val="center"/>
            </w:pPr>
            <w:r>
              <w:t>0.05</w:t>
            </w:r>
          </w:p>
        </w:tc>
        <w:tc>
          <w:tcPr>
            <w:tcW w:w="425" w:type="pct"/>
            <w:tcBorders>
              <w:top w:val="single" w:sz="4" w:space="0" w:color="auto"/>
              <w:left w:val="nil"/>
              <w:bottom w:val="nil"/>
              <w:right w:val="single" w:sz="12" w:space="0" w:color="auto"/>
            </w:tcBorders>
          </w:tcPr>
          <w:p w:rsidR="00FA598F" w:rsidRPr="005A6793" w:rsidRDefault="00FA598F" w:rsidP="007204D0">
            <w:pPr>
              <w:autoSpaceDE w:val="0"/>
              <w:autoSpaceDN w:val="0"/>
              <w:adjustRightInd w:val="0"/>
              <w:spacing w:before="20" w:after="20"/>
              <w:jc w:val="center"/>
            </w:pPr>
            <w:r>
              <w:t>0.020</w:t>
            </w:r>
          </w:p>
        </w:tc>
      </w:tr>
      <w:tr w:rsidR="00FA598F" w:rsidRPr="004A2248" w:rsidTr="00A90A3B">
        <w:trPr>
          <w:cantSplit/>
          <w:trHeight w:val="20"/>
          <w:jc w:val="center"/>
        </w:trPr>
        <w:tc>
          <w:tcPr>
            <w:tcW w:w="518" w:type="pct"/>
            <w:vMerge/>
            <w:tcBorders>
              <w:left w:val="single" w:sz="12" w:space="0" w:color="auto"/>
              <w:bottom w:val="single" w:sz="12" w:space="0" w:color="auto"/>
              <w:right w:val="single" w:sz="12" w:space="0" w:color="auto"/>
            </w:tcBorders>
            <w:shd w:val="clear" w:color="auto" w:fill="B8CCE4"/>
          </w:tcPr>
          <w:p w:rsidR="00FA598F" w:rsidRDefault="00FA598F" w:rsidP="007204D0">
            <w:pPr>
              <w:autoSpaceDE w:val="0"/>
              <w:autoSpaceDN w:val="0"/>
              <w:adjustRightInd w:val="0"/>
              <w:jc w:val="center"/>
            </w:pPr>
          </w:p>
        </w:tc>
        <w:tc>
          <w:tcPr>
            <w:tcW w:w="709" w:type="pct"/>
            <w:tcBorders>
              <w:top w:val="nil"/>
              <w:left w:val="single" w:sz="12" w:space="0" w:color="auto"/>
              <w:bottom w:val="single" w:sz="12" w:space="0" w:color="auto"/>
              <w:right w:val="nil"/>
            </w:tcBorders>
            <w:shd w:val="clear" w:color="auto" w:fill="FFFFFF" w:themeFill="background1"/>
            <w:vAlign w:val="center"/>
          </w:tcPr>
          <w:p w:rsidR="00FA598F" w:rsidRPr="005A2F7E" w:rsidRDefault="00FA598F" w:rsidP="007204D0">
            <w:pPr>
              <w:autoSpaceDE w:val="0"/>
              <w:autoSpaceDN w:val="0"/>
              <w:adjustRightInd w:val="0"/>
              <w:jc w:val="center"/>
            </w:pPr>
            <w:r>
              <w:t>Sky</w:t>
            </w:r>
          </w:p>
        </w:tc>
        <w:tc>
          <w:tcPr>
            <w:tcW w:w="422" w:type="pct"/>
            <w:tcBorders>
              <w:top w:val="nil"/>
              <w:left w:val="nil"/>
              <w:bottom w:val="single" w:sz="12" w:space="0" w:color="auto"/>
              <w:right w:val="nil"/>
            </w:tcBorders>
            <w:vAlign w:val="center"/>
          </w:tcPr>
          <w:p w:rsidR="00FA598F" w:rsidRDefault="00FA598F" w:rsidP="007204D0">
            <w:pPr>
              <w:autoSpaceDE w:val="0"/>
              <w:autoSpaceDN w:val="0"/>
              <w:adjustRightInd w:val="0"/>
              <w:spacing w:before="20" w:after="20"/>
              <w:jc w:val="center"/>
            </w:pPr>
            <w:r>
              <w:t>140</w:t>
            </w:r>
          </w:p>
        </w:tc>
        <w:tc>
          <w:tcPr>
            <w:tcW w:w="330" w:type="pct"/>
            <w:tcBorders>
              <w:top w:val="nil"/>
              <w:left w:val="nil"/>
              <w:bottom w:val="single" w:sz="12" w:space="0" w:color="auto"/>
              <w:right w:val="nil"/>
            </w:tcBorders>
            <w:vAlign w:val="center"/>
          </w:tcPr>
          <w:p w:rsidR="00FA598F" w:rsidRDefault="00FA598F" w:rsidP="007204D0">
            <w:pPr>
              <w:autoSpaceDE w:val="0"/>
              <w:autoSpaceDN w:val="0"/>
              <w:adjustRightInd w:val="0"/>
              <w:spacing w:before="20" w:after="20"/>
              <w:jc w:val="center"/>
            </w:pPr>
            <w:r>
              <w:t>150</w:t>
            </w:r>
          </w:p>
        </w:tc>
        <w:tc>
          <w:tcPr>
            <w:tcW w:w="520" w:type="pct"/>
            <w:tcBorders>
              <w:top w:val="nil"/>
              <w:left w:val="nil"/>
              <w:bottom w:val="single" w:sz="12" w:space="0" w:color="auto"/>
              <w:right w:val="nil"/>
            </w:tcBorders>
            <w:vAlign w:val="center"/>
          </w:tcPr>
          <w:p w:rsidR="00FA598F" w:rsidRPr="005A6793" w:rsidRDefault="00FA598F" w:rsidP="007204D0">
            <w:pPr>
              <w:autoSpaceDE w:val="0"/>
              <w:autoSpaceDN w:val="0"/>
              <w:adjustRightInd w:val="0"/>
              <w:spacing w:before="20" w:after="20"/>
              <w:jc w:val="center"/>
            </w:pPr>
            <w:r>
              <w:t>43.9</w:t>
            </w:r>
          </w:p>
        </w:tc>
        <w:tc>
          <w:tcPr>
            <w:tcW w:w="424" w:type="pct"/>
            <w:tcBorders>
              <w:top w:val="nil"/>
              <w:left w:val="nil"/>
              <w:bottom w:val="single" w:sz="12" w:space="0" w:color="auto"/>
              <w:right w:val="single" w:sz="4" w:space="0" w:color="auto"/>
            </w:tcBorders>
          </w:tcPr>
          <w:p w:rsidR="00FA598F" w:rsidRPr="005A6793" w:rsidRDefault="00FA598F" w:rsidP="007204D0">
            <w:pPr>
              <w:autoSpaceDE w:val="0"/>
              <w:autoSpaceDN w:val="0"/>
              <w:adjustRightInd w:val="0"/>
              <w:spacing w:before="20" w:after="20"/>
              <w:jc w:val="center"/>
            </w:pPr>
            <w:r>
              <w:t>19</w:t>
            </w:r>
          </w:p>
        </w:tc>
        <w:tc>
          <w:tcPr>
            <w:tcW w:w="614" w:type="pct"/>
            <w:tcBorders>
              <w:top w:val="nil"/>
              <w:left w:val="single" w:sz="4" w:space="0" w:color="auto"/>
              <w:bottom w:val="single" w:sz="12" w:space="0" w:color="auto"/>
              <w:right w:val="nil"/>
            </w:tcBorders>
          </w:tcPr>
          <w:p w:rsidR="00FA598F" w:rsidRPr="005A6793" w:rsidRDefault="00FA598F" w:rsidP="007204D0">
            <w:pPr>
              <w:autoSpaceDE w:val="0"/>
              <w:autoSpaceDN w:val="0"/>
              <w:adjustRightInd w:val="0"/>
              <w:spacing w:before="20" w:after="20"/>
              <w:jc w:val="center"/>
            </w:pPr>
            <w:r>
              <w:t>2</w:t>
            </w:r>
          </w:p>
        </w:tc>
        <w:tc>
          <w:tcPr>
            <w:tcW w:w="425" w:type="pct"/>
            <w:tcBorders>
              <w:top w:val="nil"/>
              <w:left w:val="nil"/>
              <w:bottom w:val="single" w:sz="12" w:space="0" w:color="auto"/>
              <w:right w:val="single" w:sz="4" w:space="0" w:color="auto"/>
            </w:tcBorders>
          </w:tcPr>
          <w:p w:rsidR="00FA598F" w:rsidRPr="005A6793" w:rsidRDefault="00FA598F" w:rsidP="007204D0">
            <w:pPr>
              <w:autoSpaceDE w:val="0"/>
              <w:autoSpaceDN w:val="0"/>
              <w:adjustRightInd w:val="0"/>
              <w:spacing w:before="20" w:after="20"/>
              <w:jc w:val="center"/>
            </w:pPr>
            <w:r>
              <w:t>0.589</w:t>
            </w:r>
          </w:p>
        </w:tc>
        <w:tc>
          <w:tcPr>
            <w:tcW w:w="613" w:type="pct"/>
            <w:tcBorders>
              <w:top w:val="nil"/>
              <w:left w:val="single" w:sz="4" w:space="0" w:color="auto"/>
              <w:bottom w:val="single" w:sz="12" w:space="0" w:color="auto"/>
              <w:right w:val="nil"/>
            </w:tcBorders>
          </w:tcPr>
          <w:p w:rsidR="00FA598F" w:rsidRPr="005A6793" w:rsidRDefault="00FA598F" w:rsidP="007204D0">
            <w:pPr>
              <w:autoSpaceDE w:val="0"/>
              <w:autoSpaceDN w:val="0"/>
              <w:adjustRightInd w:val="0"/>
              <w:spacing w:before="20" w:after="20"/>
              <w:jc w:val="center"/>
            </w:pPr>
            <w:r>
              <w:t>0.05</w:t>
            </w:r>
          </w:p>
        </w:tc>
        <w:tc>
          <w:tcPr>
            <w:tcW w:w="425" w:type="pct"/>
            <w:tcBorders>
              <w:top w:val="nil"/>
              <w:left w:val="nil"/>
              <w:bottom w:val="single" w:sz="12" w:space="0" w:color="auto"/>
              <w:right w:val="single" w:sz="12" w:space="0" w:color="auto"/>
            </w:tcBorders>
          </w:tcPr>
          <w:p w:rsidR="00FA598F" w:rsidRPr="005A6793" w:rsidRDefault="00FA598F" w:rsidP="007204D0">
            <w:pPr>
              <w:autoSpaceDE w:val="0"/>
              <w:autoSpaceDN w:val="0"/>
              <w:adjustRightInd w:val="0"/>
              <w:spacing w:before="20" w:after="20"/>
              <w:jc w:val="center"/>
            </w:pPr>
            <w:r>
              <w:t>-0.022</w:t>
            </w:r>
          </w:p>
        </w:tc>
      </w:tr>
      <w:tr w:rsidR="00FA598F" w:rsidRPr="004A2248" w:rsidTr="00FE66A5">
        <w:trPr>
          <w:cantSplit/>
          <w:trHeight w:val="663"/>
          <w:jc w:val="center"/>
        </w:trPr>
        <w:tc>
          <w:tcPr>
            <w:tcW w:w="5000" w:type="pct"/>
            <w:gridSpan w:val="10"/>
            <w:tcBorders>
              <w:top w:val="single" w:sz="12" w:space="0" w:color="auto"/>
              <w:left w:val="single" w:sz="12" w:space="0" w:color="auto"/>
              <w:bottom w:val="single" w:sz="12" w:space="0" w:color="auto"/>
              <w:right w:val="single" w:sz="12" w:space="0" w:color="auto"/>
            </w:tcBorders>
            <w:shd w:val="clear" w:color="auto" w:fill="auto"/>
          </w:tcPr>
          <w:p w:rsidR="00FA598F" w:rsidRPr="00E669F2" w:rsidRDefault="00FA598F" w:rsidP="007204D0">
            <w:pPr>
              <w:autoSpaceDE w:val="0"/>
              <w:autoSpaceDN w:val="0"/>
              <w:adjustRightInd w:val="0"/>
              <w:spacing w:before="20" w:after="20"/>
              <w:rPr>
                <w:sz w:val="16"/>
              </w:rPr>
            </w:pPr>
            <w:r w:rsidRPr="00E669F2">
              <w:rPr>
                <w:sz w:val="16"/>
              </w:rPr>
              <w:t>a. Scattering angle.</w:t>
            </w:r>
          </w:p>
          <w:p w:rsidR="00FA598F" w:rsidRPr="00E669F2" w:rsidRDefault="00FA598F" w:rsidP="007204D0">
            <w:pPr>
              <w:autoSpaceDE w:val="0"/>
              <w:autoSpaceDN w:val="0"/>
              <w:adjustRightInd w:val="0"/>
              <w:spacing w:before="20" w:after="20"/>
              <w:rPr>
                <w:sz w:val="16"/>
              </w:rPr>
            </w:pPr>
            <w:r w:rsidRPr="00E669F2">
              <w:rPr>
                <w:sz w:val="16"/>
              </w:rPr>
              <w:t>b. Azimuthal angle between line connecting source and observer, and line of sight.</w:t>
            </w:r>
          </w:p>
          <w:p w:rsidR="00FA598F" w:rsidRPr="00E669F2" w:rsidRDefault="00FA598F" w:rsidP="007204D0">
            <w:pPr>
              <w:autoSpaceDE w:val="0"/>
              <w:autoSpaceDN w:val="0"/>
              <w:adjustRightInd w:val="0"/>
              <w:spacing w:before="20" w:after="20"/>
              <w:rPr>
                <w:sz w:val="16"/>
              </w:rPr>
            </w:pPr>
            <w:r w:rsidRPr="00E669F2">
              <w:rPr>
                <w:sz w:val="16"/>
              </w:rPr>
              <w:t>c. Angle between line of sight and plume centerline.</w:t>
            </w:r>
          </w:p>
        </w:tc>
      </w:tr>
    </w:tbl>
    <w:p w:rsidR="00C10F8C" w:rsidRPr="00EF6B10" w:rsidRDefault="00C10F8C" w:rsidP="007204D0">
      <w:pPr>
        <w:widowControl w:val="0"/>
        <w:spacing w:before="120" w:after="120"/>
        <w:rPr>
          <w:sz w:val="22"/>
          <w:szCs w:val="22"/>
        </w:rPr>
      </w:pPr>
      <w:r w:rsidRPr="00EF6B10">
        <w:rPr>
          <w:sz w:val="22"/>
          <w:szCs w:val="22"/>
        </w:rPr>
        <w:t>The Level 2 analysis also assumes the scattering angle and line of sight that would maximum plume impacts, but uses a more realistic background visual range based on actual annual average natural conditions at CNWA, and uses worst case dispersion conditions that are based on actual meteorology data.</w:t>
      </w:r>
      <w:r>
        <w:rPr>
          <w:sz w:val="22"/>
          <w:szCs w:val="22"/>
        </w:rPr>
        <w:t xml:space="preserve"> </w:t>
      </w:r>
      <w:r w:rsidRPr="00EF6B10">
        <w:rPr>
          <w:sz w:val="22"/>
          <w:szCs w:val="22"/>
        </w:rPr>
        <w:t xml:space="preserve"> The applicant used surface meteorological data from the BKV ASOS station for the years 2011 to 2015 to find the worst-case dispersion condition when winds were blowing from the source towards the Class I area (S and SSE winds), for hours 0-6, 6-12, 12-18, and 18-24. </w:t>
      </w:r>
      <w:r>
        <w:rPr>
          <w:sz w:val="22"/>
          <w:szCs w:val="22"/>
        </w:rPr>
        <w:t xml:space="preserve"> </w:t>
      </w:r>
      <w:r w:rsidRPr="00EF6B10">
        <w:rPr>
          <w:sz w:val="22"/>
          <w:szCs w:val="22"/>
        </w:rPr>
        <w:t xml:space="preserve">First, the dispersion conditions were ranked in order of decreasing severity, and then the frequency of occurrence of each was calculated. </w:t>
      </w:r>
      <w:r>
        <w:rPr>
          <w:sz w:val="22"/>
          <w:szCs w:val="22"/>
        </w:rPr>
        <w:t xml:space="preserve"> </w:t>
      </w:r>
      <w:r w:rsidRPr="00EF6B10">
        <w:rPr>
          <w:sz w:val="22"/>
          <w:szCs w:val="22"/>
        </w:rPr>
        <w:t xml:space="preserve">The dispersion condition with a cumulative probability of 1% was used in the VISCREEN modeling. </w:t>
      </w:r>
      <w:r>
        <w:rPr>
          <w:sz w:val="22"/>
          <w:szCs w:val="22"/>
        </w:rPr>
        <w:t xml:space="preserve"> </w:t>
      </w:r>
      <w:r w:rsidRPr="00EF6B10">
        <w:rPr>
          <w:sz w:val="22"/>
          <w:szCs w:val="22"/>
        </w:rPr>
        <w:t>This dispersion condition was stability class F and wind speed of 1 m/s.</w:t>
      </w:r>
    </w:p>
    <w:p w:rsidR="00C10F8C" w:rsidRDefault="00C10F8C" w:rsidP="00C10F8C">
      <w:pPr>
        <w:widowControl w:val="0"/>
        <w:rPr>
          <w:b/>
          <w:caps/>
          <w:sz w:val="22"/>
          <w:szCs w:val="22"/>
        </w:rPr>
      </w:pPr>
      <w:r w:rsidRPr="00EF6B10">
        <w:rPr>
          <w:sz w:val="22"/>
          <w:szCs w:val="22"/>
        </w:rPr>
        <w:t xml:space="preserve">The Department reviewed and verified all Level 2 analysis inputs. </w:t>
      </w:r>
      <w:r>
        <w:rPr>
          <w:sz w:val="22"/>
          <w:szCs w:val="22"/>
        </w:rPr>
        <w:t xml:space="preserve"> </w:t>
      </w:r>
      <w:r w:rsidRPr="00EF6B10">
        <w:rPr>
          <w:sz w:val="22"/>
          <w:szCs w:val="22"/>
        </w:rPr>
        <w:t xml:space="preserve">Results of the Level 2 analysis are in </w:t>
      </w:r>
      <w:r w:rsidR="007204D0" w:rsidRPr="007204D0">
        <w:rPr>
          <w:rFonts w:ascii="Times New Roman Bold" w:hAnsi="Times New Roman Bold"/>
          <w:b/>
          <w:sz w:val="22"/>
          <w:szCs w:val="22"/>
        </w:rPr>
        <w:fldChar w:fldCharType="begin"/>
      </w:r>
      <w:r w:rsidR="007204D0" w:rsidRPr="007204D0">
        <w:rPr>
          <w:rFonts w:ascii="Times New Roman Bold" w:hAnsi="Times New Roman Bold"/>
          <w:b/>
          <w:sz w:val="22"/>
          <w:szCs w:val="22"/>
        </w:rPr>
        <w:instrText xml:space="preserve"> REF _Ref513627177 \h </w:instrText>
      </w:r>
      <w:r w:rsidR="007204D0">
        <w:rPr>
          <w:rFonts w:ascii="Times New Roman Bold" w:hAnsi="Times New Roman Bold"/>
          <w:b/>
          <w:sz w:val="22"/>
          <w:szCs w:val="22"/>
        </w:rPr>
        <w:instrText xml:space="preserve"> \* MERGEFORMAT </w:instrText>
      </w:r>
      <w:r w:rsidR="007204D0" w:rsidRPr="007204D0">
        <w:rPr>
          <w:rFonts w:ascii="Times New Roman Bold" w:hAnsi="Times New Roman Bold"/>
          <w:b/>
          <w:sz w:val="22"/>
          <w:szCs w:val="22"/>
        </w:rPr>
      </w:r>
      <w:r w:rsidR="007204D0" w:rsidRPr="007204D0">
        <w:rPr>
          <w:rFonts w:ascii="Times New Roman Bold" w:hAnsi="Times New Roman Bold"/>
          <w:b/>
          <w:sz w:val="22"/>
          <w:szCs w:val="22"/>
        </w:rPr>
        <w:fldChar w:fldCharType="separate"/>
      </w:r>
      <w:r w:rsidR="007204D0" w:rsidRPr="007204D0">
        <w:rPr>
          <w:rFonts w:ascii="Times New Roman Bold" w:hAnsi="Times New Roman Bold"/>
          <w:b/>
          <w:sz w:val="22"/>
        </w:rPr>
        <w:t xml:space="preserve">Table </w:t>
      </w:r>
      <w:r w:rsidR="007204D0" w:rsidRPr="007204D0">
        <w:rPr>
          <w:rFonts w:ascii="Times New Roman Bold" w:hAnsi="Times New Roman Bold"/>
          <w:b/>
          <w:noProof/>
          <w:sz w:val="22"/>
        </w:rPr>
        <w:t>29</w:t>
      </w:r>
      <w:r w:rsidR="007204D0" w:rsidRPr="007204D0">
        <w:rPr>
          <w:rFonts w:ascii="Times New Roman Bold" w:hAnsi="Times New Roman Bold"/>
          <w:b/>
          <w:sz w:val="22"/>
          <w:szCs w:val="22"/>
        </w:rPr>
        <w:fldChar w:fldCharType="end"/>
      </w:r>
      <w:r w:rsidRPr="00EF6B10">
        <w:rPr>
          <w:sz w:val="22"/>
          <w:szCs w:val="22"/>
        </w:rPr>
        <w:t xml:space="preserve">. </w:t>
      </w:r>
      <w:r>
        <w:rPr>
          <w:sz w:val="22"/>
          <w:szCs w:val="22"/>
        </w:rPr>
        <w:t xml:space="preserve"> </w:t>
      </w:r>
      <w:r w:rsidRPr="00EF6B10">
        <w:rPr>
          <w:sz w:val="22"/>
          <w:szCs w:val="22"/>
        </w:rPr>
        <w:t>Because there is no exceedance of the screening criteria against a sky background, this project will not have a significant impact on visibility at CNWA</w:t>
      </w:r>
      <w:bookmarkStart w:id="95" w:name="_Ref473300069"/>
      <w:r>
        <w:rPr>
          <w:sz w:val="22"/>
          <w:szCs w:val="22"/>
        </w:rPr>
        <w:t>.</w:t>
      </w:r>
      <w:bookmarkEnd w:id="95"/>
      <w:r w:rsidRPr="005E437C">
        <w:rPr>
          <w:b/>
          <w:caps/>
          <w:sz w:val="22"/>
          <w:szCs w:val="22"/>
        </w:rPr>
        <w:t xml:space="preserve"> </w:t>
      </w:r>
    </w:p>
    <w:p w:rsidR="00EF6B10" w:rsidRPr="007204D0" w:rsidRDefault="00EF6B10" w:rsidP="007204D0">
      <w:pPr>
        <w:widowControl w:val="0"/>
        <w:numPr>
          <w:ilvl w:val="3"/>
          <w:numId w:val="3"/>
        </w:numPr>
        <w:spacing w:before="120" w:after="120"/>
        <w:ind w:left="720" w:hanging="720"/>
        <w:rPr>
          <w:sz w:val="22"/>
          <w:szCs w:val="22"/>
        </w:rPr>
      </w:pPr>
      <w:r w:rsidRPr="00EF6B10">
        <w:rPr>
          <w:i/>
          <w:sz w:val="22"/>
          <w:szCs w:val="22"/>
        </w:rPr>
        <w:t>Deposition</w:t>
      </w:r>
      <w:r w:rsidR="007204D0">
        <w:rPr>
          <w:i/>
          <w:sz w:val="22"/>
          <w:szCs w:val="22"/>
        </w:rPr>
        <w:t xml:space="preserve"> A</w:t>
      </w:r>
      <w:r w:rsidRPr="00EF6B10">
        <w:rPr>
          <w:i/>
          <w:sz w:val="22"/>
          <w:szCs w:val="22"/>
        </w:rPr>
        <w:t>nalysis</w:t>
      </w:r>
    </w:p>
    <w:p w:rsidR="00EF6B10" w:rsidRPr="00EF6B10" w:rsidRDefault="00EF6B10" w:rsidP="00EF6B10">
      <w:pPr>
        <w:widowControl w:val="0"/>
        <w:spacing w:after="120"/>
        <w:rPr>
          <w:sz w:val="22"/>
          <w:szCs w:val="22"/>
        </w:rPr>
      </w:pPr>
      <w:r w:rsidRPr="00EF6B10">
        <w:rPr>
          <w:sz w:val="22"/>
          <w:szCs w:val="22"/>
        </w:rPr>
        <w:t xml:space="preserve">In addition to visibility impairment, total nitrogen and sulfur deposition is also a part of the AQRV analysis. </w:t>
      </w:r>
      <w:r w:rsidR="002A0497">
        <w:rPr>
          <w:sz w:val="22"/>
          <w:szCs w:val="22"/>
        </w:rPr>
        <w:t xml:space="preserve"> </w:t>
      </w:r>
      <w:r w:rsidRPr="00EF6B10">
        <w:rPr>
          <w:sz w:val="22"/>
          <w:szCs w:val="22"/>
        </w:rPr>
        <w:t xml:space="preserve">The applicant analyzed nitrogen and sulfur deposition in CNWA. </w:t>
      </w:r>
      <w:r w:rsidR="00E10974">
        <w:rPr>
          <w:sz w:val="22"/>
          <w:szCs w:val="22"/>
        </w:rPr>
        <w:t xml:space="preserve"> </w:t>
      </w:r>
      <w:r w:rsidRPr="00EF6B10">
        <w:rPr>
          <w:sz w:val="22"/>
          <w:szCs w:val="22"/>
        </w:rPr>
        <w:t>This analysis was performed using the CALPUFF model and followed the most recent FLM guidance.</w:t>
      </w:r>
      <w:r w:rsidR="00E10974">
        <w:rPr>
          <w:sz w:val="22"/>
          <w:szCs w:val="22"/>
        </w:rPr>
        <w:t xml:space="preserve"> </w:t>
      </w:r>
      <w:r w:rsidRPr="00EF6B10">
        <w:rPr>
          <w:sz w:val="22"/>
          <w:szCs w:val="22"/>
        </w:rPr>
        <w:t xml:space="preserve"> The results shown in </w:t>
      </w:r>
      <w:r w:rsidR="007204D0" w:rsidRPr="007204D0">
        <w:rPr>
          <w:rFonts w:ascii="Times New Roman Bold" w:hAnsi="Times New Roman Bold"/>
          <w:b/>
          <w:sz w:val="22"/>
          <w:szCs w:val="22"/>
        </w:rPr>
        <w:fldChar w:fldCharType="begin"/>
      </w:r>
      <w:r w:rsidR="007204D0" w:rsidRPr="007204D0">
        <w:rPr>
          <w:rFonts w:ascii="Times New Roman Bold" w:hAnsi="Times New Roman Bold"/>
          <w:b/>
          <w:sz w:val="22"/>
          <w:szCs w:val="22"/>
        </w:rPr>
        <w:instrText xml:space="preserve"> REF _Ref513627277 \h </w:instrText>
      </w:r>
      <w:r w:rsidR="007204D0">
        <w:rPr>
          <w:rFonts w:ascii="Times New Roman Bold" w:hAnsi="Times New Roman Bold"/>
          <w:b/>
          <w:sz w:val="22"/>
          <w:szCs w:val="22"/>
        </w:rPr>
        <w:instrText xml:space="preserve"> \* MERGEFORMAT </w:instrText>
      </w:r>
      <w:r w:rsidR="007204D0" w:rsidRPr="007204D0">
        <w:rPr>
          <w:rFonts w:ascii="Times New Roman Bold" w:hAnsi="Times New Roman Bold"/>
          <w:b/>
          <w:sz w:val="22"/>
          <w:szCs w:val="22"/>
        </w:rPr>
      </w:r>
      <w:r w:rsidR="007204D0" w:rsidRPr="007204D0">
        <w:rPr>
          <w:rFonts w:ascii="Times New Roman Bold" w:hAnsi="Times New Roman Bold"/>
          <w:b/>
          <w:sz w:val="22"/>
          <w:szCs w:val="22"/>
        </w:rPr>
        <w:fldChar w:fldCharType="separate"/>
      </w:r>
      <w:r w:rsidR="007204D0" w:rsidRPr="007204D0">
        <w:rPr>
          <w:rFonts w:ascii="Times New Roman Bold" w:hAnsi="Times New Roman Bold"/>
          <w:b/>
          <w:sz w:val="22"/>
        </w:rPr>
        <w:t xml:space="preserve">Table </w:t>
      </w:r>
      <w:r w:rsidR="007204D0" w:rsidRPr="007204D0">
        <w:rPr>
          <w:rFonts w:ascii="Times New Roman Bold" w:hAnsi="Times New Roman Bold"/>
          <w:b/>
          <w:noProof/>
          <w:sz w:val="22"/>
        </w:rPr>
        <w:t>30</w:t>
      </w:r>
      <w:r w:rsidR="007204D0" w:rsidRPr="007204D0">
        <w:rPr>
          <w:rFonts w:ascii="Times New Roman Bold" w:hAnsi="Times New Roman Bold"/>
          <w:b/>
          <w:sz w:val="22"/>
          <w:szCs w:val="22"/>
        </w:rPr>
        <w:fldChar w:fldCharType="end"/>
      </w:r>
      <w:r w:rsidR="007204D0">
        <w:rPr>
          <w:sz w:val="22"/>
          <w:szCs w:val="22"/>
        </w:rPr>
        <w:t xml:space="preserve"> </w:t>
      </w:r>
      <w:r w:rsidRPr="00EF6B10">
        <w:rPr>
          <w:sz w:val="22"/>
          <w:szCs w:val="22"/>
        </w:rPr>
        <w:t>indicate that the project is not expected to have a significant impact with respect to deposition in CNWA.</w:t>
      </w:r>
    </w:p>
    <w:p w:rsidR="00EF6B10" w:rsidRPr="007204D0" w:rsidRDefault="007204D0" w:rsidP="007204D0">
      <w:pPr>
        <w:pStyle w:val="Caption"/>
        <w:spacing w:before="0"/>
        <w:jc w:val="center"/>
        <w:rPr>
          <w:rFonts w:ascii="Times New Roman Bold" w:hAnsi="Times New Roman Bold"/>
          <w:szCs w:val="22"/>
        </w:rPr>
      </w:pPr>
      <w:bookmarkStart w:id="96" w:name="_Ref513627277"/>
      <w:r w:rsidRPr="007204D0">
        <w:rPr>
          <w:rFonts w:ascii="Times New Roman Bold" w:hAnsi="Times New Roman Bold"/>
        </w:rPr>
        <w:t xml:space="preserve">Table </w:t>
      </w:r>
      <w:r w:rsidRPr="007204D0">
        <w:rPr>
          <w:rFonts w:ascii="Times New Roman Bold" w:hAnsi="Times New Roman Bold"/>
        </w:rPr>
        <w:fldChar w:fldCharType="begin"/>
      </w:r>
      <w:r w:rsidRPr="007204D0">
        <w:rPr>
          <w:rFonts w:ascii="Times New Roman Bold" w:hAnsi="Times New Roman Bold"/>
        </w:rPr>
        <w:instrText xml:space="preserve"> SEQ Table \* ARABIC </w:instrText>
      </w:r>
      <w:r w:rsidRPr="007204D0">
        <w:rPr>
          <w:rFonts w:ascii="Times New Roman Bold" w:hAnsi="Times New Roman Bold"/>
        </w:rPr>
        <w:fldChar w:fldCharType="separate"/>
      </w:r>
      <w:r w:rsidRPr="007204D0">
        <w:rPr>
          <w:rFonts w:ascii="Times New Roman Bold" w:hAnsi="Times New Roman Bold"/>
          <w:noProof/>
        </w:rPr>
        <w:t>30</w:t>
      </w:r>
      <w:r w:rsidRPr="007204D0">
        <w:rPr>
          <w:rFonts w:ascii="Times New Roman Bold" w:hAnsi="Times New Roman Bold"/>
        </w:rPr>
        <w:fldChar w:fldCharType="end"/>
      </w:r>
      <w:bookmarkEnd w:id="96"/>
      <w:r w:rsidRPr="007204D0">
        <w:rPr>
          <w:rFonts w:ascii="Times New Roman Bold" w:hAnsi="Times New Roman Bold"/>
        </w:rPr>
        <w:t xml:space="preserve"> - </w:t>
      </w:r>
      <w:r w:rsidR="00EF6B10" w:rsidRPr="007204D0">
        <w:rPr>
          <w:rFonts w:ascii="Times New Roman Bold" w:hAnsi="Times New Roman Bold"/>
          <w:szCs w:val="22"/>
        </w:rPr>
        <w:t>Summary of AQRV deposition analysis for the project in Chassahowitzka National Wilderness Area.</w:t>
      </w:r>
    </w:p>
    <w:tbl>
      <w:tblPr>
        <w:tblStyle w:val="TableGrid"/>
        <w:tblW w:w="3972" w:type="pct"/>
        <w:jc w:val="center"/>
        <w:tblBorders>
          <w:insideH w:val="none" w:sz="0" w:space="0" w:color="auto"/>
          <w:insideV w:val="none" w:sz="0" w:space="0" w:color="auto"/>
        </w:tblBorders>
        <w:tblLayout w:type="fixed"/>
        <w:tblLook w:val="04A0" w:firstRow="1" w:lastRow="0" w:firstColumn="1" w:lastColumn="0" w:noHBand="0" w:noVBand="1"/>
      </w:tblPr>
      <w:tblGrid>
        <w:gridCol w:w="1328"/>
        <w:gridCol w:w="1151"/>
        <w:gridCol w:w="1151"/>
        <w:gridCol w:w="1150"/>
        <w:gridCol w:w="1986"/>
        <w:gridCol w:w="1103"/>
      </w:tblGrid>
      <w:tr w:rsidR="00FA598F" w:rsidTr="00A90A3B">
        <w:trPr>
          <w:cantSplit/>
          <w:tblHeader/>
          <w:jc w:val="center"/>
        </w:trPr>
        <w:tc>
          <w:tcPr>
            <w:tcW w:w="843" w:type="pct"/>
            <w:vMerge w:val="restart"/>
            <w:tcBorders>
              <w:top w:val="single" w:sz="12" w:space="0" w:color="auto"/>
              <w:left w:val="single" w:sz="12" w:space="0" w:color="auto"/>
              <w:bottom w:val="nil"/>
            </w:tcBorders>
            <w:shd w:val="clear" w:color="auto" w:fill="B8CCE4"/>
            <w:vAlign w:val="center"/>
          </w:tcPr>
          <w:p w:rsidR="00FA598F" w:rsidRPr="00572F74" w:rsidRDefault="00FA598F" w:rsidP="00CF08C0">
            <w:pPr>
              <w:jc w:val="center"/>
              <w:rPr>
                <w:b/>
              </w:rPr>
            </w:pPr>
            <w:r>
              <w:rPr>
                <w:b/>
              </w:rPr>
              <w:t>Deposition Type</w:t>
            </w:r>
            <w:r w:rsidRPr="00572F74">
              <w:rPr>
                <w:b/>
              </w:rPr>
              <w:t xml:space="preserve"> </w:t>
            </w:r>
          </w:p>
        </w:tc>
        <w:tc>
          <w:tcPr>
            <w:tcW w:w="2193" w:type="pct"/>
            <w:gridSpan w:val="3"/>
            <w:tcBorders>
              <w:top w:val="single" w:sz="12" w:space="0" w:color="auto"/>
              <w:bottom w:val="nil"/>
            </w:tcBorders>
            <w:shd w:val="clear" w:color="auto" w:fill="B8CCE4"/>
            <w:vAlign w:val="center"/>
          </w:tcPr>
          <w:p w:rsidR="00FA598F" w:rsidRPr="00572F74" w:rsidRDefault="00FA598F" w:rsidP="00CF08C0">
            <w:pPr>
              <w:jc w:val="center"/>
              <w:rPr>
                <w:b/>
              </w:rPr>
            </w:pPr>
            <w:r>
              <w:rPr>
                <w:b/>
              </w:rPr>
              <w:t>Average Annual Deposition (kg/ha/yr</w:t>
            </w:r>
            <w:r w:rsidRPr="00572F74">
              <w:rPr>
                <w:b/>
              </w:rPr>
              <w:t>)</w:t>
            </w:r>
          </w:p>
        </w:tc>
        <w:tc>
          <w:tcPr>
            <w:tcW w:w="1262" w:type="pct"/>
            <w:vMerge w:val="restart"/>
            <w:tcBorders>
              <w:top w:val="single" w:sz="12" w:space="0" w:color="auto"/>
              <w:bottom w:val="nil"/>
            </w:tcBorders>
            <w:shd w:val="clear" w:color="auto" w:fill="B8CCE4"/>
            <w:vAlign w:val="center"/>
          </w:tcPr>
          <w:p w:rsidR="00FA598F" w:rsidRPr="00572F74" w:rsidRDefault="00FA598F" w:rsidP="00CF08C0">
            <w:pPr>
              <w:jc w:val="center"/>
              <w:rPr>
                <w:b/>
              </w:rPr>
            </w:pPr>
            <w:r>
              <w:rPr>
                <w:b/>
              </w:rPr>
              <w:t>Deposition Threshold (kg/ha/yr)</w:t>
            </w:r>
          </w:p>
        </w:tc>
        <w:tc>
          <w:tcPr>
            <w:tcW w:w="701" w:type="pct"/>
            <w:vMerge w:val="restart"/>
            <w:tcBorders>
              <w:top w:val="single" w:sz="12" w:space="0" w:color="auto"/>
              <w:bottom w:val="nil"/>
              <w:right w:val="single" w:sz="12" w:space="0" w:color="auto"/>
            </w:tcBorders>
            <w:shd w:val="clear" w:color="auto" w:fill="B8CCE4"/>
            <w:vAlign w:val="center"/>
          </w:tcPr>
          <w:p w:rsidR="00FA598F" w:rsidRPr="00572F74" w:rsidRDefault="00FA598F" w:rsidP="00CF08C0">
            <w:pPr>
              <w:jc w:val="center"/>
              <w:rPr>
                <w:b/>
              </w:rPr>
            </w:pPr>
            <w:r>
              <w:rPr>
                <w:b/>
              </w:rPr>
              <w:t>Max % of Threshold</w:t>
            </w:r>
          </w:p>
        </w:tc>
      </w:tr>
      <w:tr w:rsidR="00FA598F" w:rsidTr="00A90A3B">
        <w:trPr>
          <w:cantSplit/>
          <w:tblHeader/>
          <w:jc w:val="center"/>
        </w:trPr>
        <w:tc>
          <w:tcPr>
            <w:tcW w:w="843" w:type="pct"/>
            <w:vMerge/>
            <w:tcBorders>
              <w:top w:val="nil"/>
              <w:left w:val="single" w:sz="12" w:space="0" w:color="auto"/>
              <w:bottom w:val="single" w:sz="12" w:space="0" w:color="auto"/>
            </w:tcBorders>
            <w:vAlign w:val="center"/>
          </w:tcPr>
          <w:p w:rsidR="00FA598F" w:rsidRPr="001715AD" w:rsidRDefault="00FA598F" w:rsidP="00CF08C0">
            <w:pPr>
              <w:jc w:val="center"/>
            </w:pPr>
          </w:p>
        </w:tc>
        <w:tc>
          <w:tcPr>
            <w:tcW w:w="731" w:type="pct"/>
            <w:tcBorders>
              <w:top w:val="nil"/>
              <w:bottom w:val="single" w:sz="12" w:space="0" w:color="auto"/>
            </w:tcBorders>
            <w:shd w:val="clear" w:color="auto" w:fill="B8CCE4"/>
            <w:vAlign w:val="center"/>
          </w:tcPr>
          <w:p w:rsidR="00FA598F" w:rsidRPr="00572F74" w:rsidRDefault="00FA598F" w:rsidP="00CF08C0">
            <w:pPr>
              <w:jc w:val="center"/>
              <w:rPr>
                <w:b/>
              </w:rPr>
            </w:pPr>
            <w:r w:rsidRPr="00572F74">
              <w:rPr>
                <w:b/>
              </w:rPr>
              <w:t>2001</w:t>
            </w:r>
          </w:p>
        </w:tc>
        <w:tc>
          <w:tcPr>
            <w:tcW w:w="731" w:type="pct"/>
            <w:tcBorders>
              <w:top w:val="nil"/>
              <w:bottom w:val="single" w:sz="12" w:space="0" w:color="auto"/>
            </w:tcBorders>
            <w:shd w:val="clear" w:color="auto" w:fill="B8CCE4"/>
            <w:vAlign w:val="center"/>
          </w:tcPr>
          <w:p w:rsidR="00FA598F" w:rsidRPr="00572F74" w:rsidRDefault="00FA598F" w:rsidP="00CF08C0">
            <w:pPr>
              <w:jc w:val="center"/>
              <w:rPr>
                <w:b/>
              </w:rPr>
            </w:pPr>
            <w:r w:rsidRPr="00572F74">
              <w:rPr>
                <w:b/>
              </w:rPr>
              <w:t>2002</w:t>
            </w:r>
          </w:p>
        </w:tc>
        <w:tc>
          <w:tcPr>
            <w:tcW w:w="731" w:type="pct"/>
            <w:tcBorders>
              <w:top w:val="nil"/>
              <w:bottom w:val="single" w:sz="12" w:space="0" w:color="auto"/>
            </w:tcBorders>
            <w:shd w:val="clear" w:color="auto" w:fill="B8CCE4"/>
            <w:vAlign w:val="center"/>
          </w:tcPr>
          <w:p w:rsidR="00FA598F" w:rsidRPr="00572F74" w:rsidRDefault="00FA598F" w:rsidP="00CF08C0">
            <w:pPr>
              <w:jc w:val="center"/>
              <w:rPr>
                <w:b/>
              </w:rPr>
            </w:pPr>
            <w:r w:rsidRPr="00572F74">
              <w:rPr>
                <w:b/>
              </w:rPr>
              <w:t>2003</w:t>
            </w:r>
          </w:p>
        </w:tc>
        <w:tc>
          <w:tcPr>
            <w:tcW w:w="1262" w:type="pct"/>
            <w:vMerge/>
            <w:tcBorders>
              <w:top w:val="nil"/>
              <w:bottom w:val="single" w:sz="12" w:space="0" w:color="auto"/>
            </w:tcBorders>
            <w:vAlign w:val="center"/>
          </w:tcPr>
          <w:p w:rsidR="00FA598F" w:rsidRPr="001715AD" w:rsidRDefault="00FA598F" w:rsidP="00CF08C0">
            <w:pPr>
              <w:jc w:val="center"/>
            </w:pPr>
          </w:p>
        </w:tc>
        <w:tc>
          <w:tcPr>
            <w:tcW w:w="701" w:type="pct"/>
            <w:vMerge/>
            <w:tcBorders>
              <w:top w:val="nil"/>
              <w:bottom w:val="single" w:sz="12" w:space="0" w:color="auto"/>
              <w:right w:val="single" w:sz="12" w:space="0" w:color="auto"/>
            </w:tcBorders>
            <w:vAlign w:val="center"/>
          </w:tcPr>
          <w:p w:rsidR="00FA598F" w:rsidRPr="001715AD" w:rsidRDefault="00FA598F" w:rsidP="00CF08C0">
            <w:pPr>
              <w:jc w:val="center"/>
            </w:pPr>
          </w:p>
        </w:tc>
      </w:tr>
      <w:tr w:rsidR="00FA598F" w:rsidTr="00A90A3B">
        <w:trPr>
          <w:cantSplit/>
          <w:tblHeader/>
          <w:jc w:val="center"/>
        </w:trPr>
        <w:tc>
          <w:tcPr>
            <w:tcW w:w="843" w:type="pct"/>
            <w:tcBorders>
              <w:top w:val="single" w:sz="12" w:space="0" w:color="auto"/>
              <w:left w:val="single" w:sz="12" w:space="0" w:color="auto"/>
            </w:tcBorders>
            <w:vAlign w:val="center"/>
          </w:tcPr>
          <w:p w:rsidR="00FA598F" w:rsidRPr="001715AD" w:rsidRDefault="00FA598F" w:rsidP="00CF08C0">
            <w:pPr>
              <w:jc w:val="center"/>
            </w:pPr>
            <w:r>
              <w:t>Sulfur</w:t>
            </w:r>
          </w:p>
        </w:tc>
        <w:tc>
          <w:tcPr>
            <w:tcW w:w="731" w:type="pct"/>
            <w:tcBorders>
              <w:top w:val="single" w:sz="12" w:space="0" w:color="auto"/>
              <w:bottom w:val="nil"/>
            </w:tcBorders>
            <w:vAlign w:val="center"/>
          </w:tcPr>
          <w:p w:rsidR="00FA598F" w:rsidRPr="001715AD" w:rsidRDefault="00FA598F" w:rsidP="00CF08C0">
            <w:pPr>
              <w:jc w:val="center"/>
            </w:pPr>
            <w:r>
              <w:t>0.0036</w:t>
            </w:r>
          </w:p>
        </w:tc>
        <w:tc>
          <w:tcPr>
            <w:tcW w:w="731" w:type="pct"/>
            <w:tcBorders>
              <w:top w:val="single" w:sz="12" w:space="0" w:color="auto"/>
              <w:bottom w:val="nil"/>
            </w:tcBorders>
            <w:vAlign w:val="center"/>
          </w:tcPr>
          <w:p w:rsidR="00FA598F" w:rsidRPr="001715AD" w:rsidRDefault="00FA598F" w:rsidP="00CF08C0">
            <w:pPr>
              <w:jc w:val="center"/>
            </w:pPr>
            <w:r>
              <w:t>0.004</w:t>
            </w:r>
            <w:r w:rsidR="00BD3722">
              <w:t>5</w:t>
            </w:r>
          </w:p>
        </w:tc>
        <w:tc>
          <w:tcPr>
            <w:tcW w:w="731" w:type="pct"/>
            <w:tcBorders>
              <w:top w:val="single" w:sz="12" w:space="0" w:color="auto"/>
              <w:bottom w:val="nil"/>
            </w:tcBorders>
            <w:vAlign w:val="center"/>
          </w:tcPr>
          <w:p w:rsidR="00FA598F" w:rsidRPr="001715AD" w:rsidRDefault="00FA598F" w:rsidP="00CF08C0">
            <w:pPr>
              <w:jc w:val="center"/>
            </w:pPr>
            <w:r>
              <w:t>0.0045</w:t>
            </w:r>
          </w:p>
        </w:tc>
        <w:tc>
          <w:tcPr>
            <w:tcW w:w="1262" w:type="pct"/>
            <w:tcBorders>
              <w:top w:val="single" w:sz="12" w:space="0" w:color="auto"/>
            </w:tcBorders>
            <w:vAlign w:val="center"/>
          </w:tcPr>
          <w:p w:rsidR="00FA598F" w:rsidRPr="001715AD" w:rsidRDefault="00FA598F" w:rsidP="00CF08C0">
            <w:pPr>
              <w:jc w:val="center"/>
            </w:pPr>
            <w:r>
              <w:t>0.01</w:t>
            </w:r>
          </w:p>
        </w:tc>
        <w:tc>
          <w:tcPr>
            <w:tcW w:w="701" w:type="pct"/>
            <w:tcBorders>
              <w:top w:val="single" w:sz="12" w:space="0" w:color="auto"/>
              <w:right w:val="single" w:sz="12" w:space="0" w:color="auto"/>
            </w:tcBorders>
            <w:vAlign w:val="center"/>
          </w:tcPr>
          <w:p w:rsidR="00FA598F" w:rsidRPr="001715AD" w:rsidRDefault="00FA598F" w:rsidP="00CF08C0">
            <w:pPr>
              <w:jc w:val="center"/>
            </w:pPr>
            <w:r>
              <w:t>4</w:t>
            </w:r>
            <w:r w:rsidR="00BD3722">
              <w:t>5</w:t>
            </w:r>
            <w:r>
              <w:t>%</w:t>
            </w:r>
          </w:p>
        </w:tc>
      </w:tr>
      <w:tr w:rsidR="00FA598F" w:rsidTr="00A90A3B">
        <w:trPr>
          <w:cantSplit/>
          <w:tblHeader/>
          <w:jc w:val="center"/>
        </w:trPr>
        <w:tc>
          <w:tcPr>
            <w:tcW w:w="843" w:type="pct"/>
            <w:tcBorders>
              <w:left w:val="single" w:sz="12" w:space="0" w:color="auto"/>
              <w:bottom w:val="single" w:sz="12" w:space="0" w:color="auto"/>
            </w:tcBorders>
            <w:vAlign w:val="center"/>
          </w:tcPr>
          <w:p w:rsidR="00FA598F" w:rsidRDefault="00FA598F" w:rsidP="00CF08C0">
            <w:pPr>
              <w:jc w:val="center"/>
            </w:pPr>
            <w:r>
              <w:t>Nitrogen</w:t>
            </w:r>
          </w:p>
        </w:tc>
        <w:tc>
          <w:tcPr>
            <w:tcW w:w="731" w:type="pct"/>
            <w:tcBorders>
              <w:top w:val="nil"/>
              <w:bottom w:val="single" w:sz="12" w:space="0" w:color="auto"/>
            </w:tcBorders>
            <w:vAlign w:val="center"/>
          </w:tcPr>
          <w:p w:rsidR="00FA598F" w:rsidRDefault="00FA598F" w:rsidP="00CF08C0">
            <w:pPr>
              <w:jc w:val="center"/>
            </w:pPr>
            <w:r>
              <w:t>0.0016</w:t>
            </w:r>
          </w:p>
        </w:tc>
        <w:tc>
          <w:tcPr>
            <w:tcW w:w="731" w:type="pct"/>
            <w:tcBorders>
              <w:top w:val="nil"/>
              <w:bottom w:val="single" w:sz="12" w:space="0" w:color="auto"/>
            </w:tcBorders>
            <w:vAlign w:val="center"/>
          </w:tcPr>
          <w:p w:rsidR="00FA598F" w:rsidRDefault="00FA598F" w:rsidP="00CF08C0">
            <w:pPr>
              <w:jc w:val="center"/>
            </w:pPr>
            <w:r>
              <w:t>0.0017</w:t>
            </w:r>
          </w:p>
        </w:tc>
        <w:tc>
          <w:tcPr>
            <w:tcW w:w="731" w:type="pct"/>
            <w:tcBorders>
              <w:top w:val="nil"/>
              <w:bottom w:val="single" w:sz="12" w:space="0" w:color="auto"/>
            </w:tcBorders>
            <w:vAlign w:val="center"/>
          </w:tcPr>
          <w:p w:rsidR="00FA598F" w:rsidRDefault="00FA598F" w:rsidP="00CF08C0">
            <w:pPr>
              <w:jc w:val="center"/>
            </w:pPr>
            <w:r>
              <w:t>0.0021</w:t>
            </w:r>
          </w:p>
        </w:tc>
        <w:tc>
          <w:tcPr>
            <w:tcW w:w="1262" w:type="pct"/>
            <w:tcBorders>
              <w:bottom w:val="single" w:sz="12" w:space="0" w:color="auto"/>
            </w:tcBorders>
            <w:vAlign w:val="center"/>
          </w:tcPr>
          <w:p w:rsidR="00FA598F" w:rsidRDefault="00FA598F" w:rsidP="00CF08C0">
            <w:pPr>
              <w:jc w:val="center"/>
            </w:pPr>
            <w:r>
              <w:t>0.01</w:t>
            </w:r>
          </w:p>
        </w:tc>
        <w:tc>
          <w:tcPr>
            <w:tcW w:w="701" w:type="pct"/>
            <w:tcBorders>
              <w:bottom w:val="single" w:sz="12" w:space="0" w:color="auto"/>
              <w:right w:val="single" w:sz="12" w:space="0" w:color="auto"/>
            </w:tcBorders>
            <w:vAlign w:val="center"/>
          </w:tcPr>
          <w:p w:rsidR="00FA598F" w:rsidRDefault="00FA598F" w:rsidP="00CF08C0">
            <w:pPr>
              <w:jc w:val="center"/>
            </w:pPr>
            <w:r>
              <w:t>21%</w:t>
            </w:r>
          </w:p>
        </w:tc>
      </w:tr>
    </w:tbl>
    <w:p w:rsidR="007707A3" w:rsidRPr="007707A3" w:rsidRDefault="00EF6B10" w:rsidP="007204D0">
      <w:pPr>
        <w:widowControl w:val="0"/>
        <w:numPr>
          <w:ilvl w:val="1"/>
          <w:numId w:val="3"/>
        </w:numPr>
        <w:spacing w:before="120" w:after="120"/>
        <w:ind w:left="720" w:hanging="720"/>
        <w:rPr>
          <w:sz w:val="22"/>
          <w:szCs w:val="22"/>
        </w:rPr>
      </w:pPr>
      <w:r w:rsidRPr="007707A3">
        <w:rPr>
          <w:b/>
          <w:sz w:val="22"/>
          <w:szCs w:val="22"/>
        </w:rPr>
        <w:t>Conclusion</w:t>
      </w:r>
    </w:p>
    <w:p w:rsidR="00EF6B10" w:rsidRPr="007707A3" w:rsidRDefault="00EF6B10" w:rsidP="007707A3">
      <w:pPr>
        <w:widowControl w:val="0"/>
        <w:spacing w:before="120" w:after="120"/>
        <w:rPr>
          <w:sz w:val="22"/>
          <w:szCs w:val="22"/>
        </w:rPr>
      </w:pPr>
      <w:r w:rsidRPr="007707A3">
        <w:rPr>
          <w:sz w:val="22"/>
          <w:szCs w:val="22"/>
        </w:rPr>
        <w:t>Based on the results presented in the air quality impact analysis, the Department has reasonable assurance that the increased pollutant emissions associated with the project will not cause or significantly contribute to any violation of a NAAQS or PSD increment; in addition, the Department finds that there will be no adverse impact on soils, vegetation, wildlife, or AQRVs in Class I areas.</w:t>
      </w:r>
    </w:p>
    <w:p w:rsidR="00193F10" w:rsidRPr="006B7C5D" w:rsidRDefault="00193F10" w:rsidP="004A142E">
      <w:pPr>
        <w:pStyle w:val="ListParagraph"/>
        <w:widowControl w:val="0"/>
        <w:numPr>
          <w:ilvl w:val="0"/>
          <w:numId w:val="3"/>
        </w:numPr>
        <w:spacing w:after="120"/>
        <w:ind w:left="720" w:hanging="720"/>
        <w:contextualSpacing w:val="0"/>
        <w:rPr>
          <w:b/>
          <w:caps/>
          <w:sz w:val="22"/>
          <w:szCs w:val="22"/>
        </w:rPr>
      </w:pPr>
      <w:r w:rsidRPr="006B7C5D">
        <w:rPr>
          <w:b/>
          <w:caps/>
          <w:sz w:val="22"/>
          <w:szCs w:val="22"/>
        </w:rPr>
        <w:t>Preliminary Determination</w:t>
      </w:r>
    </w:p>
    <w:p w:rsidR="00193F10" w:rsidRDefault="00190881" w:rsidP="00962BE4">
      <w:pPr>
        <w:widowControl w:val="0"/>
        <w:spacing w:after="120"/>
        <w:rPr>
          <w:sz w:val="22"/>
          <w:szCs w:val="22"/>
        </w:rPr>
      </w:pPr>
      <w:r w:rsidRPr="00290299">
        <w:rPr>
          <w:sz w:val="22"/>
          <w:szCs w:val="22"/>
        </w:rPr>
        <w:t>The Department makes a preliminary determination that the proposed project will comply with all applicable state and federal air pollution reg</w:t>
      </w:r>
      <w:r>
        <w:rPr>
          <w:sz w:val="22"/>
          <w:szCs w:val="22"/>
        </w:rPr>
        <w:t>ulations as conditioned by the D</w:t>
      </w:r>
      <w:r w:rsidRPr="00290299">
        <w:rPr>
          <w:sz w:val="22"/>
          <w:szCs w:val="22"/>
        </w:rPr>
        <w:t xml:space="preserve">raft </w:t>
      </w:r>
      <w:r>
        <w:rPr>
          <w:sz w:val="22"/>
          <w:szCs w:val="22"/>
        </w:rPr>
        <w:t>P</w:t>
      </w:r>
      <w:r w:rsidRPr="00290299">
        <w:rPr>
          <w:sz w:val="22"/>
          <w:szCs w:val="22"/>
        </w:rPr>
        <w:t xml:space="preserve">ermit.  This determination is based on a technical review of the complete application, reasonable assurances provided by the applicant, and the conditions specified in the </w:t>
      </w:r>
      <w:r>
        <w:rPr>
          <w:sz w:val="22"/>
          <w:szCs w:val="22"/>
        </w:rPr>
        <w:t>D</w:t>
      </w:r>
      <w:r w:rsidRPr="00290299">
        <w:rPr>
          <w:sz w:val="22"/>
          <w:szCs w:val="22"/>
        </w:rPr>
        <w:t xml:space="preserve">raft </w:t>
      </w:r>
      <w:r>
        <w:rPr>
          <w:sz w:val="22"/>
          <w:szCs w:val="22"/>
        </w:rPr>
        <w:t>P</w:t>
      </w:r>
      <w:r w:rsidRPr="00290299">
        <w:rPr>
          <w:sz w:val="22"/>
          <w:szCs w:val="22"/>
        </w:rPr>
        <w:t xml:space="preserve">ermit.  </w:t>
      </w:r>
      <w:r w:rsidR="00DD1917">
        <w:rPr>
          <w:sz w:val="22"/>
          <w:szCs w:val="22"/>
        </w:rPr>
        <w:t>Lara Rabbath</w:t>
      </w:r>
      <w:r w:rsidRPr="00290299">
        <w:rPr>
          <w:sz w:val="22"/>
          <w:szCs w:val="22"/>
        </w:rPr>
        <w:t xml:space="preserve"> is the project engineer responsible for reviewing the application and drafting the permit changes.  </w:t>
      </w:r>
      <w:r w:rsidR="00DD1917">
        <w:rPr>
          <w:sz w:val="22"/>
          <w:szCs w:val="22"/>
        </w:rPr>
        <w:t>Ashley Kung</w:t>
      </w:r>
      <w:r w:rsidRPr="00290299">
        <w:rPr>
          <w:sz w:val="22"/>
          <w:szCs w:val="22"/>
        </w:rPr>
        <w:t xml:space="preserve"> is the meteorologist responsible for reviewing </w:t>
      </w:r>
      <w:r w:rsidR="00183DED">
        <w:rPr>
          <w:sz w:val="22"/>
          <w:szCs w:val="22"/>
        </w:rPr>
        <w:t xml:space="preserve">and approving </w:t>
      </w:r>
      <w:r w:rsidRPr="00290299">
        <w:rPr>
          <w:sz w:val="22"/>
          <w:szCs w:val="22"/>
        </w:rPr>
        <w:t xml:space="preserve">the ambient air quality analyses.  Additional details of this analysis may be obtained by contacting the project engineer at the Department’s </w:t>
      </w:r>
      <w:r w:rsidR="00BA5049">
        <w:rPr>
          <w:sz w:val="22"/>
          <w:szCs w:val="22"/>
        </w:rPr>
        <w:t>Office of Permitting and Compliance</w:t>
      </w:r>
      <w:r w:rsidRPr="00290299">
        <w:rPr>
          <w:sz w:val="22"/>
          <w:szCs w:val="22"/>
        </w:rPr>
        <w:t xml:space="preserve"> at Mail Station #5505, 2600 Blair</w:t>
      </w:r>
      <w:r w:rsidR="00301492">
        <w:rPr>
          <w:sz w:val="22"/>
          <w:szCs w:val="22"/>
        </w:rPr>
        <w:t xml:space="preserve"> S</w:t>
      </w:r>
      <w:r w:rsidRPr="00290299">
        <w:rPr>
          <w:sz w:val="22"/>
          <w:szCs w:val="22"/>
        </w:rPr>
        <w:t>tone Road, Tallahassee, Florida  32399-2400</w:t>
      </w:r>
      <w:r w:rsidR="00190915" w:rsidRPr="00190915">
        <w:rPr>
          <w:sz w:val="22"/>
        </w:rPr>
        <w:t xml:space="preserve"> </w:t>
      </w:r>
      <w:r w:rsidR="00190915">
        <w:rPr>
          <w:sz w:val="22"/>
        </w:rPr>
        <w:t>at 850</w:t>
      </w:r>
      <w:r w:rsidR="004611A3">
        <w:rPr>
          <w:sz w:val="22"/>
        </w:rPr>
        <w:t>-</w:t>
      </w:r>
      <w:r w:rsidR="00190915">
        <w:rPr>
          <w:sz w:val="22"/>
        </w:rPr>
        <w:t>717-</w:t>
      </w:r>
      <w:r w:rsidR="004611A3">
        <w:rPr>
          <w:sz w:val="22"/>
        </w:rPr>
        <w:t>9082</w:t>
      </w:r>
      <w:r w:rsidR="00190915">
        <w:rPr>
          <w:sz w:val="22"/>
        </w:rPr>
        <w:t xml:space="preserve"> or by email </w:t>
      </w:r>
      <w:hyperlink r:id="rId33" w:history="1">
        <w:r w:rsidR="00820919" w:rsidRPr="00F16560">
          <w:rPr>
            <w:rStyle w:val="Hyperlink"/>
            <w:sz w:val="22"/>
          </w:rPr>
          <w:t>Lara.Rabbath@dep.state.fl.us</w:t>
        </w:r>
      </w:hyperlink>
      <w:r w:rsidR="00190915">
        <w:rPr>
          <w:sz w:val="22"/>
        </w:rPr>
        <w:t>.</w:t>
      </w:r>
      <w:r w:rsidRPr="00290299">
        <w:rPr>
          <w:sz w:val="22"/>
          <w:szCs w:val="22"/>
        </w:rPr>
        <w:t>.</w:t>
      </w:r>
    </w:p>
    <w:sectPr w:rsidR="00193F10" w:rsidSect="00621A27">
      <w:headerReference w:type="default" r:id="rId34"/>
      <w:footerReference w:type="default" r:id="rId35"/>
      <w:headerReference w:type="first" r:id="rId36"/>
      <w:footerReference w:type="first" r:id="rId37"/>
      <w:pgSz w:w="12240" w:h="15840" w:code="1"/>
      <w:pgMar w:top="720" w:right="1152" w:bottom="720" w:left="1152" w:header="720" w:footer="576" w:gutter="0"/>
      <w:paperSrc w:first="7" w:other="7"/>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47689" w:rsidRDefault="00D47689">
      <w:r>
        <w:separator/>
      </w:r>
    </w:p>
  </w:endnote>
  <w:endnote w:type="continuationSeparator" w:id="0">
    <w:p w:rsidR="00D47689" w:rsidRDefault="00D476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Open Sans">
    <w:altName w:val="Segoe UI"/>
    <w:charset w:val="00"/>
    <w:family w:val="auto"/>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689" w:rsidRPr="005601DE" w:rsidRDefault="00D47689" w:rsidP="005601DE">
    <w:pPr>
      <w:pBdr>
        <w:top w:val="single" w:sz="6" w:space="1" w:color="auto"/>
      </w:pBdr>
      <w:tabs>
        <w:tab w:val="right" w:pos="10080"/>
      </w:tabs>
      <w:spacing w:before="120"/>
    </w:pPr>
    <w:bookmarkStart w:id="97" w:name="_Hlk513216161"/>
    <w:r w:rsidRPr="005601DE">
      <w:t>Shady Hills Energy Center, LLC</w:t>
    </w:r>
    <w:r w:rsidRPr="005601DE">
      <w:tab/>
      <w:t xml:space="preserve">Air Permit No. </w:t>
    </w:r>
    <w:r>
      <w:t>1010524</w:t>
    </w:r>
    <w:r w:rsidRPr="005601DE">
      <w:t>-0</w:t>
    </w:r>
    <w:r>
      <w:t>01</w:t>
    </w:r>
    <w:r w:rsidRPr="005601DE">
      <w:t>-AC (PSD-FL-444)</w:t>
    </w:r>
  </w:p>
  <w:p w:rsidR="00D47689" w:rsidRPr="005601DE" w:rsidRDefault="00D47689" w:rsidP="005601DE">
    <w:pPr>
      <w:pBdr>
        <w:top w:val="single" w:sz="6" w:space="1" w:color="auto"/>
      </w:pBdr>
      <w:tabs>
        <w:tab w:val="right" w:pos="10080"/>
      </w:tabs>
    </w:pPr>
    <w:r w:rsidRPr="005601DE">
      <w:t>Shady Hills Combined Cycle Facility</w:t>
    </w:r>
    <w:r w:rsidRPr="005601DE">
      <w:tab/>
    </w:r>
    <w:bookmarkEnd w:id="97"/>
    <w:r w:rsidRPr="005601DE">
      <w:t>Pasco County</w:t>
    </w:r>
  </w:p>
  <w:p w:rsidR="00D47689" w:rsidRPr="00C761BE" w:rsidRDefault="00D47689" w:rsidP="00C761BE">
    <w:pPr>
      <w:pStyle w:val="Footer"/>
      <w:tabs>
        <w:tab w:val="clear" w:pos="4320"/>
        <w:tab w:val="clear" w:pos="8640"/>
        <w:tab w:val="left" w:pos="7380"/>
      </w:tabs>
      <w:jc w:val="center"/>
    </w:pPr>
    <w:r w:rsidRPr="00C761BE">
      <w:rPr>
        <w:rStyle w:val="PageNumber"/>
      </w:rPr>
      <w:t xml:space="preserve">Page </w:t>
    </w:r>
    <w:r w:rsidRPr="00C761BE">
      <w:rPr>
        <w:rStyle w:val="PageNumber"/>
      </w:rPr>
      <w:fldChar w:fldCharType="begin"/>
    </w:r>
    <w:r w:rsidRPr="00C761BE">
      <w:rPr>
        <w:rStyle w:val="PageNumber"/>
      </w:rPr>
      <w:instrText xml:space="preserve"> PAGE </w:instrText>
    </w:r>
    <w:r w:rsidRPr="00C761BE">
      <w:rPr>
        <w:rStyle w:val="PageNumber"/>
      </w:rPr>
      <w:fldChar w:fldCharType="separate"/>
    </w:r>
    <w:r w:rsidR="00A73FFE">
      <w:rPr>
        <w:rStyle w:val="PageNumber"/>
        <w:noProof/>
      </w:rPr>
      <w:t>6</w:t>
    </w:r>
    <w:r w:rsidRPr="00C761BE">
      <w:rPr>
        <w:rStyle w:val="PageNumber"/>
      </w:rPr>
      <w:fldChar w:fldCharType="end"/>
    </w:r>
    <w:r w:rsidRPr="00C761BE">
      <w:rPr>
        <w:rStyle w:val="PageNumber"/>
      </w:rPr>
      <w:t xml:space="preserve"> of </w:t>
    </w:r>
    <w:r w:rsidRPr="00C761BE">
      <w:rPr>
        <w:rStyle w:val="PageNumber"/>
      </w:rPr>
      <w:fldChar w:fldCharType="begin"/>
    </w:r>
    <w:r w:rsidRPr="00C761BE">
      <w:rPr>
        <w:rStyle w:val="PageNumber"/>
      </w:rPr>
      <w:instrText xml:space="preserve"> NUMPAGES </w:instrText>
    </w:r>
    <w:r w:rsidRPr="00C761BE">
      <w:rPr>
        <w:rStyle w:val="PageNumber"/>
      </w:rPr>
      <w:fldChar w:fldCharType="separate"/>
    </w:r>
    <w:r w:rsidR="00A73FFE">
      <w:rPr>
        <w:rStyle w:val="PageNumber"/>
        <w:noProof/>
      </w:rPr>
      <w:t>10</w:t>
    </w:r>
    <w:r w:rsidRPr="00C761BE">
      <w:rPr>
        <w:rStyle w:val="PageNumber"/>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689" w:rsidRDefault="00D476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47689" w:rsidRDefault="00D47689">
      <w:r>
        <w:separator/>
      </w:r>
    </w:p>
  </w:footnote>
  <w:footnote w:type="continuationSeparator" w:id="0">
    <w:p w:rsidR="00D47689" w:rsidRDefault="00D47689">
      <w:r>
        <w:continuationSeparator/>
      </w:r>
    </w:p>
  </w:footnote>
  <w:footnote w:id="1">
    <w:p w:rsidR="00D47689" w:rsidRDefault="00D47689">
      <w:pPr>
        <w:pStyle w:val="FootnoteText"/>
      </w:pPr>
      <w:r>
        <w:rPr>
          <w:rStyle w:val="FootnoteReference"/>
        </w:rPr>
        <w:footnoteRef/>
      </w:r>
      <w:r>
        <w:t xml:space="preserve"> </w:t>
      </w:r>
      <w:hyperlink r:id="rId1" w:tooltip=" " w:history="1">
        <w:r w:rsidRPr="00282923">
          <w:rPr>
            <w:rStyle w:val="Hyperlink"/>
          </w:rPr>
          <w:t>Link to Application</w:t>
        </w:r>
      </w:hyperlink>
      <w:r>
        <w:t xml:space="preserve">.  </w:t>
      </w:r>
      <w:r w:rsidRPr="00282923">
        <w:t>Click “Public Oculus Login” button to access the application</w:t>
      </w:r>
      <w:r>
        <w:t>.</w:t>
      </w:r>
    </w:p>
  </w:footnote>
  <w:footnote w:id="2">
    <w:p w:rsidR="00D47689" w:rsidRDefault="00D47689" w:rsidP="00AC65F1">
      <w:pPr>
        <w:pStyle w:val="FootnoteText"/>
      </w:pPr>
      <w:r>
        <w:rPr>
          <w:rStyle w:val="FootnoteReference"/>
        </w:rPr>
        <w:footnoteRef/>
      </w:r>
      <w:r>
        <w:t xml:space="preserve"> </w:t>
      </w:r>
      <w:hyperlink r:id="rId2" w:history="1">
        <w:r w:rsidRPr="00946ED1">
          <w:rPr>
            <w:rStyle w:val="Hyperlink"/>
          </w:rPr>
          <w:t>EPA RBLC</w:t>
        </w:r>
      </w:hyperlink>
    </w:p>
  </w:footnote>
  <w:footnote w:id="3">
    <w:p w:rsidR="00D47689" w:rsidRDefault="00D47689">
      <w:pPr>
        <w:pStyle w:val="FootnoteText"/>
      </w:pPr>
      <w:r>
        <w:rPr>
          <w:rStyle w:val="FootnoteReference"/>
        </w:rPr>
        <w:footnoteRef/>
      </w:r>
      <w:r>
        <w:t xml:space="preserve"> </w:t>
      </w:r>
      <w:hyperlink r:id="rId3" w:tooltip=" " w:history="1">
        <w:r w:rsidRPr="00AD69B5">
          <w:rPr>
            <w:rStyle w:val="Hyperlink"/>
          </w:rPr>
          <w:t>GE 7HA.01/7HA.02 Gas Turbine Product Specifications website</w:t>
        </w:r>
      </w:hyperlink>
    </w:p>
  </w:footnote>
  <w:footnote w:id="4">
    <w:p w:rsidR="00D47689" w:rsidRDefault="00D47689" w:rsidP="00682A17">
      <w:pPr>
        <w:pStyle w:val="FootnoteText"/>
      </w:pPr>
      <w:r>
        <w:rPr>
          <w:rStyle w:val="FootnoteReference"/>
        </w:rPr>
        <w:footnoteRef/>
      </w:r>
      <w:r>
        <w:t xml:space="preserve"> </w:t>
      </w:r>
      <w:hyperlink r:id="rId4" w:tooltip=" " w:history="1">
        <w:r w:rsidRPr="005A25DB">
          <w:rPr>
            <w:rStyle w:val="Hyperlink"/>
          </w:rPr>
          <w:t>AP-42 Vol. I, 3.1: Stationary Gas Turbines- US EPA</w:t>
        </w:r>
      </w:hyperlink>
    </w:p>
  </w:footnote>
  <w:footnote w:id="5">
    <w:p w:rsidR="00D47689" w:rsidRDefault="00D47689" w:rsidP="00B34F7C">
      <w:pPr>
        <w:pStyle w:val="FootnoteText"/>
      </w:pPr>
      <w:r>
        <w:rPr>
          <w:rStyle w:val="FootnoteReference"/>
        </w:rPr>
        <w:footnoteRef/>
      </w:r>
      <w:r>
        <w:t xml:space="preserve"> Information from </w:t>
      </w:r>
      <w:hyperlink r:id="rId5" w:history="1">
        <w:r>
          <w:rPr>
            <w:rStyle w:val="Hyperlink"/>
          </w:rPr>
          <w:t>EIA website</w:t>
        </w:r>
      </w:hyperlink>
      <w:r>
        <w:t>.</w:t>
      </w:r>
    </w:p>
  </w:footnote>
  <w:footnote w:id="6">
    <w:p w:rsidR="00D47689" w:rsidRDefault="00D47689">
      <w:pPr>
        <w:pStyle w:val="FootnoteText"/>
      </w:pPr>
      <w:r>
        <w:rPr>
          <w:rStyle w:val="FootnoteReference"/>
        </w:rPr>
        <w:footnoteRef/>
      </w:r>
      <w:r>
        <w:t xml:space="preserve"> </w:t>
      </w:r>
      <w:hyperlink r:id="rId6" w:history="1">
        <w:r>
          <w:rPr>
            <w:rStyle w:val="Hyperlink"/>
          </w:rPr>
          <w:t>Environmental Appeals Board September 1, 2016 Maricopa County Air Quality Department Ruling.</w:t>
        </w:r>
      </w:hyperlink>
    </w:p>
  </w:footnote>
  <w:footnote w:id="7">
    <w:p w:rsidR="00D47689" w:rsidRDefault="00D47689">
      <w:pPr>
        <w:pStyle w:val="FootnoteText"/>
      </w:pPr>
      <w:r>
        <w:rPr>
          <w:rStyle w:val="FootnoteReference"/>
        </w:rPr>
        <w:footnoteRef/>
      </w:r>
      <w:r>
        <w:t xml:space="preserve"> </w:t>
      </w:r>
      <w:hyperlink r:id="rId7" w:tooltip=" " w:history="1">
        <w:r w:rsidRPr="00BC0C09">
          <w:rPr>
            <w:rStyle w:val="Hyperlink"/>
          </w:rPr>
          <w:t>U.S. EPA, “PSD and Title V Permitting Guidance for Greenhouse Gases,” (November 2010) p. 42.</w:t>
        </w:r>
      </w:hyperlink>
    </w:p>
  </w:footnote>
  <w:footnote w:id="8">
    <w:p w:rsidR="00D47689" w:rsidRDefault="00D47689">
      <w:pPr>
        <w:pStyle w:val="FootnoteText"/>
      </w:pPr>
      <w:r>
        <w:rPr>
          <w:rStyle w:val="FootnoteReference"/>
        </w:rPr>
        <w:footnoteRef/>
      </w:r>
      <w:r>
        <w:t xml:space="preserve"> EIA “</w:t>
      </w:r>
      <w:hyperlink r:id="rId8" w:tooltip=" " w:history="1">
        <w:r w:rsidRPr="007E327F">
          <w:rPr>
            <w:rStyle w:val="Hyperlink"/>
          </w:rPr>
          <w:t>Electric Power Annual 2016 Revision Notice – March 8, 2018</w:t>
        </w:r>
      </w:hyperlink>
      <w:r>
        <w:t>”</w:t>
      </w:r>
    </w:p>
  </w:footnote>
  <w:footnote w:id="9">
    <w:p w:rsidR="00D47689" w:rsidRDefault="00D47689" w:rsidP="004B2C7D">
      <w:pPr>
        <w:pStyle w:val="FootnoteText"/>
      </w:pPr>
      <w:r>
        <w:rPr>
          <w:rStyle w:val="FootnoteReference"/>
        </w:rPr>
        <w:footnoteRef/>
      </w:r>
      <w:r>
        <w:t xml:space="preserve"> </w:t>
      </w:r>
      <w:hyperlink r:id="rId9" w:tooltip=" " w:history="1">
        <w:r w:rsidRPr="00AD69B5">
          <w:rPr>
            <w:rStyle w:val="Hyperlink"/>
          </w:rPr>
          <w:t>GE 7HA.01/7HA.02 Gas Turbine Product Specifications website</w:t>
        </w:r>
      </w:hyperlink>
    </w:p>
  </w:footnote>
  <w:footnote w:id="10">
    <w:p w:rsidR="00D47689" w:rsidRDefault="00D47689">
      <w:pPr>
        <w:pStyle w:val="FootnoteText"/>
      </w:pPr>
      <w:r>
        <w:rPr>
          <w:rStyle w:val="FootnoteReference"/>
        </w:rPr>
        <w:footnoteRef/>
      </w:r>
      <w:r>
        <w:t xml:space="preserve"> </w:t>
      </w:r>
      <w:hyperlink r:id="rId10" w:tooltip=" " w:history="1">
        <w:r>
          <w:rPr>
            <w:rStyle w:val="Hyperlink"/>
          </w:rPr>
          <w:t>AP-42 VOL. I: 1.4 Natural Gas Combustion</w:t>
        </w:r>
      </w:hyperlink>
    </w:p>
  </w:footnote>
  <w:footnote w:id="11">
    <w:p w:rsidR="00D47689" w:rsidRDefault="00D47689">
      <w:pPr>
        <w:pStyle w:val="FootnoteText"/>
      </w:pPr>
      <w:r>
        <w:rPr>
          <w:rStyle w:val="FootnoteReference"/>
        </w:rPr>
        <w:footnoteRef/>
      </w:r>
      <w:r>
        <w:t xml:space="preserve"> EPA, “</w:t>
      </w:r>
      <w:hyperlink r:id="rId11" w:history="1">
        <w:r w:rsidRPr="008D3386">
          <w:rPr>
            <w:rStyle w:val="Hyperlink"/>
          </w:rPr>
          <w:t>SF</w:t>
        </w:r>
        <w:r w:rsidRPr="008D3386">
          <w:rPr>
            <w:rStyle w:val="Hyperlink"/>
            <w:vertAlign w:val="subscript"/>
          </w:rPr>
          <w:t>6</w:t>
        </w:r>
        <w:r w:rsidRPr="008D3386">
          <w:rPr>
            <w:rStyle w:val="Hyperlink"/>
          </w:rPr>
          <w:t xml:space="preserve"> Leak Rates from High Voltage Circuit Breakers - U.S. EPA Investigates Potential Greenhouse Gas Emissions Source</w:t>
        </w:r>
      </w:hyperlink>
      <w:r>
        <w:t>”</w:t>
      </w:r>
    </w:p>
  </w:footnote>
  <w:footnote w:id="12">
    <w:p w:rsidR="00D47689" w:rsidRDefault="00D47689" w:rsidP="00804A73">
      <w:pPr>
        <w:pStyle w:val="FootnoteText"/>
      </w:pPr>
      <w:r>
        <w:rPr>
          <w:rStyle w:val="FootnoteReference"/>
        </w:rPr>
        <w:footnoteRef/>
      </w:r>
      <w:r>
        <w:t xml:space="preserve"> </w:t>
      </w:r>
      <w:hyperlink r:id="rId12" w:tooltip=" " w:history="1">
        <w:r w:rsidRPr="00ED3369">
          <w:rPr>
            <w:rStyle w:val="Hyperlink"/>
          </w:rPr>
          <w:t>Assessing the Methane Emissions from Natural Gas-Fired Power Plants and Oil Refineries</w:t>
        </w:r>
      </w:hyperlink>
    </w:p>
  </w:footnote>
  <w:footnote w:id="13">
    <w:p w:rsidR="00D47689" w:rsidRDefault="00D47689">
      <w:pPr>
        <w:pStyle w:val="FootnoteText"/>
      </w:pPr>
      <w:r>
        <w:rPr>
          <w:rStyle w:val="FootnoteReference"/>
        </w:rPr>
        <w:footnoteRef/>
      </w:r>
      <w:r>
        <w:t xml:space="preserve"> </w:t>
      </w:r>
      <w:r w:rsidRPr="00DF494F">
        <w:rPr>
          <w:sz w:val="22"/>
          <w:szCs w:val="22"/>
        </w:rPr>
        <w:t>EPA</w:t>
      </w:r>
      <w:r>
        <w:rPr>
          <w:sz w:val="22"/>
          <w:szCs w:val="22"/>
        </w:rPr>
        <w:t>,</w:t>
      </w:r>
      <w:r w:rsidRPr="00DF494F">
        <w:rPr>
          <w:sz w:val="22"/>
          <w:szCs w:val="22"/>
        </w:rPr>
        <w:t xml:space="preserve"> </w:t>
      </w:r>
      <w:r>
        <w:rPr>
          <w:sz w:val="22"/>
          <w:szCs w:val="22"/>
        </w:rPr>
        <w:t>“</w:t>
      </w:r>
      <w:hyperlink r:id="rId13" w:tooltip=" " w:history="1">
        <w:r w:rsidRPr="0043024A">
          <w:rPr>
            <w:rStyle w:val="Hyperlink"/>
          </w:rPr>
          <w:t>Leak Detection and Repair, a Best Practices Guide</w:t>
        </w:r>
      </w:hyperlink>
      <w:r>
        <w:rPr>
          <w:sz w:val="22"/>
          <w:szCs w:val="22"/>
        </w:rPr>
        <w:t>”</w:t>
      </w:r>
    </w:p>
  </w:footnote>
  <w:footnote w:id="14">
    <w:p w:rsidR="00D47689" w:rsidRDefault="00D47689" w:rsidP="00EF6B10">
      <w:pPr>
        <w:pStyle w:val="FootnoteText"/>
      </w:pPr>
      <w:r>
        <w:rPr>
          <w:rStyle w:val="FootnoteReference"/>
        </w:rPr>
        <w:footnoteRef/>
      </w:r>
      <w:r>
        <w:t xml:space="preserve"> U.S. EPA’s Draft “</w:t>
      </w:r>
      <w:hyperlink r:id="rId14" w:history="1">
        <w:r w:rsidRPr="00F559A1">
          <w:rPr>
            <w:rStyle w:val="Hyperlink"/>
          </w:rPr>
          <w:t>Guidance on Significant Impact Levels for Ozone and Fine Particles in the Prevention of Significant Deterioration Permitting Program</w:t>
        </w:r>
      </w:hyperlink>
      <w:r>
        <w:t>,” August 18, 2016.</w:t>
      </w:r>
    </w:p>
  </w:footnote>
  <w:footnote w:id="15">
    <w:p w:rsidR="00D47689" w:rsidRDefault="00D47689" w:rsidP="00EF6B10">
      <w:pPr>
        <w:pStyle w:val="FootnoteText"/>
      </w:pPr>
      <w:r>
        <w:rPr>
          <w:rStyle w:val="FootnoteReference"/>
        </w:rPr>
        <w:footnoteRef/>
      </w:r>
      <w:r>
        <w:t xml:space="preserve"> U.S. EPA’s Draft “</w:t>
      </w:r>
      <w:hyperlink r:id="rId15" w:history="1">
        <w:r w:rsidRPr="00960336">
          <w:rPr>
            <w:rStyle w:val="Hyperlink"/>
          </w:rPr>
          <w:t>Guidance on the Development of Modeled Emission Rates for Precursors (MERPs) as a Tier 1 Demonstration Tool for Ozone and PM</w:t>
        </w:r>
        <w:r w:rsidRPr="00960336">
          <w:rPr>
            <w:rStyle w:val="Hyperlink"/>
            <w:vertAlign w:val="subscript"/>
          </w:rPr>
          <w:t>2.5</w:t>
        </w:r>
        <w:r w:rsidRPr="00960336">
          <w:rPr>
            <w:rStyle w:val="Hyperlink"/>
          </w:rPr>
          <w:t xml:space="preserve"> under the PSD Permitting Program</w:t>
        </w:r>
      </w:hyperlink>
      <w:r>
        <w:t>,” December 2, 2016.</w:t>
      </w:r>
    </w:p>
  </w:footnote>
  <w:footnote w:id="16">
    <w:p w:rsidR="00D47689" w:rsidRDefault="00D47689">
      <w:pPr>
        <w:pStyle w:val="FootnoteText"/>
      </w:pPr>
      <w:r>
        <w:rPr>
          <w:rStyle w:val="FootnoteReference"/>
        </w:rPr>
        <w:footnoteRef/>
      </w:r>
      <w:r>
        <w:t xml:space="preserve"> U.S. EPA</w:t>
      </w:r>
      <w:r w:rsidRPr="00E20F9D">
        <w:t>’s “</w:t>
      </w:r>
      <w:hyperlink r:id="rId16" w:tooltip="  " w:history="1">
        <w:r w:rsidRPr="00E20F9D">
          <w:rPr>
            <w:rStyle w:val="Hyperlink"/>
          </w:rPr>
          <w:t>Distribution of the EPA’s modeling data used to develop illustrative examples in the draft Guidance on the Development of Modeled Emission Rates for Precursors (MERPs) as a Tier 1 Demonstration Tool for Ozone and PM</w:t>
        </w:r>
        <w:r w:rsidRPr="00C962C2">
          <w:rPr>
            <w:rStyle w:val="Hyperlink"/>
            <w:vertAlign w:val="subscript"/>
          </w:rPr>
          <w:t>2.5</w:t>
        </w:r>
        <w:r w:rsidRPr="00E20F9D">
          <w:rPr>
            <w:rStyle w:val="Hyperlink"/>
          </w:rPr>
          <w:t xml:space="preserve"> under the PSD Permitting Program</w:t>
        </w:r>
      </w:hyperlink>
      <w:r w:rsidRPr="00E20F9D">
        <w:t>,” February 23, 2017</w:t>
      </w:r>
    </w:p>
  </w:footnote>
  <w:footnote w:id="17">
    <w:p w:rsidR="00D47689" w:rsidRDefault="00D47689" w:rsidP="00EF6B10">
      <w:pPr>
        <w:pStyle w:val="FootnoteText"/>
      </w:pPr>
      <w:r>
        <w:rPr>
          <w:rStyle w:val="FootnoteReference"/>
        </w:rPr>
        <w:footnoteRef/>
      </w:r>
      <w:r>
        <w:t xml:space="preserve"> U.S. EPA</w:t>
      </w:r>
      <w:r w:rsidRPr="00E20F9D">
        <w:t>’s “</w:t>
      </w:r>
      <w:hyperlink r:id="rId17" w:tooltip="  " w:history="1">
        <w:r w:rsidRPr="00E20F9D">
          <w:rPr>
            <w:rStyle w:val="Hyperlink"/>
          </w:rPr>
          <w:t>Distribution of the EPA’s modeling data used to develop illustrative examples in the draft Guidance on the Development of Modeled Emission Rates for Precursors (MERPs) as a Tier 1 Demonstration Tool for Ozone and PM</w:t>
        </w:r>
        <w:r w:rsidRPr="00C962C2">
          <w:rPr>
            <w:rStyle w:val="Hyperlink"/>
            <w:vertAlign w:val="subscript"/>
          </w:rPr>
          <w:t>2.5</w:t>
        </w:r>
        <w:r w:rsidRPr="00E20F9D">
          <w:rPr>
            <w:rStyle w:val="Hyperlink"/>
          </w:rPr>
          <w:t xml:space="preserve"> under the PSD Permitting Program</w:t>
        </w:r>
      </w:hyperlink>
      <w:r w:rsidRPr="00E20F9D">
        <w:t>,” February 23, 2017</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689" w:rsidRDefault="00D47689">
    <w:pPr>
      <w:pStyle w:val="Header"/>
      <w:pBdr>
        <w:bottom w:val="single" w:sz="6" w:space="1" w:color="auto"/>
      </w:pBdr>
      <w:spacing w:after="240"/>
      <w:jc w:val="center"/>
      <w:rPr>
        <w:b/>
        <w:caps/>
        <w:sz w:val="22"/>
        <w:u w:val="single"/>
      </w:rPr>
    </w:pPr>
    <w:r>
      <w:rPr>
        <w:b/>
        <w:caps/>
        <w:sz w:val="22"/>
      </w:rPr>
      <w:t>TECHNICAL EVALUATION and PRELIMINARY DETERMINATION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7689" w:rsidRDefault="00D476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1356D8"/>
    <w:multiLevelType w:val="hybridMultilevel"/>
    <w:tmpl w:val="CC42801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2D13D45"/>
    <w:multiLevelType w:val="hybridMultilevel"/>
    <w:tmpl w:val="68005D14"/>
    <w:lvl w:ilvl="0" w:tplc="04090001">
      <w:start w:val="1"/>
      <w:numFmt w:val="bullet"/>
      <w:lvlText w:val=""/>
      <w:lvlJc w:val="left"/>
      <w:pPr>
        <w:ind w:left="720" w:hanging="360"/>
      </w:pPr>
      <w:rPr>
        <w:rFonts w:ascii="Symbol" w:hAnsi="Symbol"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D8133A"/>
    <w:multiLevelType w:val="hybridMultilevel"/>
    <w:tmpl w:val="BA2C98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7B4440"/>
    <w:multiLevelType w:val="hybridMultilevel"/>
    <w:tmpl w:val="0AC23756"/>
    <w:lvl w:ilvl="0" w:tplc="72CEAFDC">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C63505"/>
    <w:multiLevelType w:val="hybridMultilevel"/>
    <w:tmpl w:val="8CD8C142"/>
    <w:lvl w:ilvl="0" w:tplc="9EAC94C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D675D12"/>
    <w:multiLevelType w:val="multilevel"/>
    <w:tmpl w:val="788E69B0"/>
    <w:lvl w:ilvl="0">
      <w:start w:val="1"/>
      <w:numFmt w:val="decimal"/>
      <w:lvlText w:val="%1."/>
      <w:lvlJc w:val="left"/>
      <w:pPr>
        <w:ind w:left="360" w:hanging="360"/>
      </w:pPr>
      <w:rPr>
        <w:rFonts w:hint="default"/>
        <w:u w:val="none"/>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b/>
        <w:i w:val="0"/>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F86366F"/>
    <w:multiLevelType w:val="hybridMultilevel"/>
    <w:tmpl w:val="BF12A336"/>
    <w:lvl w:ilvl="0" w:tplc="C2C471EC">
      <w:start w:val="1"/>
      <w:numFmt w:val="decimal"/>
      <w:lvlText w:val="7.2.4.%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360" w:hanging="360"/>
      </w:pPr>
    </w:lvl>
    <w:lvl w:ilvl="4" w:tplc="04090019" w:tentative="1">
      <w:start w:val="1"/>
      <w:numFmt w:val="lowerLetter"/>
      <w:lvlText w:val="%5."/>
      <w:lvlJc w:val="left"/>
      <w:pPr>
        <w:ind w:left="1080" w:hanging="360"/>
      </w:pPr>
    </w:lvl>
    <w:lvl w:ilvl="5" w:tplc="0409001B" w:tentative="1">
      <w:start w:val="1"/>
      <w:numFmt w:val="lowerRoman"/>
      <w:lvlText w:val="%6."/>
      <w:lvlJc w:val="right"/>
      <w:pPr>
        <w:ind w:left="1800" w:hanging="180"/>
      </w:pPr>
    </w:lvl>
    <w:lvl w:ilvl="6" w:tplc="0409000F" w:tentative="1">
      <w:start w:val="1"/>
      <w:numFmt w:val="decimal"/>
      <w:lvlText w:val="%7."/>
      <w:lvlJc w:val="left"/>
      <w:pPr>
        <w:ind w:left="2520" w:hanging="360"/>
      </w:pPr>
    </w:lvl>
    <w:lvl w:ilvl="7" w:tplc="04090019" w:tentative="1">
      <w:start w:val="1"/>
      <w:numFmt w:val="lowerLetter"/>
      <w:lvlText w:val="%8."/>
      <w:lvlJc w:val="left"/>
      <w:pPr>
        <w:ind w:left="3240" w:hanging="360"/>
      </w:pPr>
    </w:lvl>
    <w:lvl w:ilvl="8" w:tplc="0409001B" w:tentative="1">
      <w:start w:val="1"/>
      <w:numFmt w:val="lowerRoman"/>
      <w:lvlText w:val="%9."/>
      <w:lvlJc w:val="right"/>
      <w:pPr>
        <w:ind w:left="3960" w:hanging="180"/>
      </w:pPr>
    </w:lvl>
  </w:abstractNum>
  <w:abstractNum w:abstractNumId="7" w15:restartNumberingAfterBreak="0">
    <w:nsid w:val="102F0C9F"/>
    <w:multiLevelType w:val="hybridMultilevel"/>
    <w:tmpl w:val="A42EE81A"/>
    <w:lvl w:ilvl="0" w:tplc="B6DCAD10">
      <w:start w:val="1"/>
      <w:numFmt w:val="decimal"/>
      <w:lvlText w:val="%1."/>
      <w:lvlJc w:val="left"/>
      <w:pPr>
        <w:ind w:left="720" w:hanging="360"/>
      </w:pPr>
      <w:rPr>
        <w:rFonts w:hint="default"/>
        <w:b w:val="0"/>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954C17"/>
    <w:multiLevelType w:val="hybridMultilevel"/>
    <w:tmpl w:val="CBC4C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1DA7A78"/>
    <w:multiLevelType w:val="hybridMultilevel"/>
    <w:tmpl w:val="E2CC6DF6"/>
    <w:lvl w:ilvl="0" w:tplc="741859E0">
      <w:start w:val="1"/>
      <w:numFmt w:val="decimal"/>
      <w:lvlText w:val="5.%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2FA3FF3"/>
    <w:multiLevelType w:val="hybridMultilevel"/>
    <w:tmpl w:val="41DAC33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58F3AE2"/>
    <w:multiLevelType w:val="hybridMultilevel"/>
    <w:tmpl w:val="6C5A35C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5EA6921"/>
    <w:multiLevelType w:val="hybridMultilevel"/>
    <w:tmpl w:val="2A5C74AA"/>
    <w:lvl w:ilvl="0" w:tplc="04090019">
      <w:start w:val="1"/>
      <w:numFmt w:val="lowerLetter"/>
      <w:lvlText w:val="%1."/>
      <w:lvlJc w:val="left"/>
      <w:pPr>
        <w:tabs>
          <w:tab w:val="num" w:pos="374"/>
        </w:tabs>
        <w:ind w:left="374" w:hanging="360"/>
      </w:pPr>
      <w:rPr>
        <w:sz w:val="16"/>
        <w:szCs w:val="16"/>
      </w:rPr>
    </w:lvl>
    <w:lvl w:ilvl="1" w:tplc="04090019">
      <w:start w:val="1"/>
      <w:numFmt w:val="decimal"/>
      <w:lvlText w:val="%2."/>
      <w:lvlJc w:val="left"/>
      <w:pPr>
        <w:tabs>
          <w:tab w:val="num" w:pos="734"/>
        </w:tabs>
        <w:ind w:left="734" w:hanging="360"/>
      </w:pPr>
    </w:lvl>
    <w:lvl w:ilvl="2" w:tplc="0409001B">
      <w:start w:val="1"/>
      <w:numFmt w:val="decimal"/>
      <w:lvlText w:val="%3."/>
      <w:lvlJc w:val="left"/>
      <w:pPr>
        <w:tabs>
          <w:tab w:val="num" w:pos="1454"/>
        </w:tabs>
        <w:ind w:left="1454" w:hanging="360"/>
      </w:pPr>
    </w:lvl>
    <w:lvl w:ilvl="3" w:tplc="0409000F">
      <w:start w:val="1"/>
      <w:numFmt w:val="decimal"/>
      <w:lvlText w:val="%4."/>
      <w:lvlJc w:val="left"/>
      <w:pPr>
        <w:tabs>
          <w:tab w:val="num" w:pos="2174"/>
        </w:tabs>
        <w:ind w:left="2174" w:hanging="360"/>
      </w:pPr>
    </w:lvl>
    <w:lvl w:ilvl="4" w:tplc="04090019">
      <w:start w:val="1"/>
      <w:numFmt w:val="decimal"/>
      <w:lvlText w:val="%5."/>
      <w:lvlJc w:val="left"/>
      <w:pPr>
        <w:tabs>
          <w:tab w:val="num" w:pos="2894"/>
        </w:tabs>
        <w:ind w:left="2894" w:hanging="360"/>
      </w:pPr>
    </w:lvl>
    <w:lvl w:ilvl="5" w:tplc="0409001B">
      <w:start w:val="1"/>
      <w:numFmt w:val="decimal"/>
      <w:lvlText w:val="%6."/>
      <w:lvlJc w:val="left"/>
      <w:pPr>
        <w:tabs>
          <w:tab w:val="num" w:pos="3614"/>
        </w:tabs>
        <w:ind w:left="3614" w:hanging="360"/>
      </w:pPr>
    </w:lvl>
    <w:lvl w:ilvl="6" w:tplc="0409000F">
      <w:start w:val="1"/>
      <w:numFmt w:val="decimal"/>
      <w:lvlText w:val="%7."/>
      <w:lvlJc w:val="left"/>
      <w:pPr>
        <w:tabs>
          <w:tab w:val="num" w:pos="4334"/>
        </w:tabs>
        <w:ind w:left="4334" w:hanging="360"/>
      </w:pPr>
    </w:lvl>
    <w:lvl w:ilvl="7" w:tplc="04090019">
      <w:start w:val="1"/>
      <w:numFmt w:val="decimal"/>
      <w:lvlText w:val="%8."/>
      <w:lvlJc w:val="left"/>
      <w:pPr>
        <w:tabs>
          <w:tab w:val="num" w:pos="5054"/>
        </w:tabs>
        <w:ind w:left="5054" w:hanging="360"/>
      </w:pPr>
    </w:lvl>
    <w:lvl w:ilvl="8" w:tplc="0409001B">
      <w:start w:val="1"/>
      <w:numFmt w:val="decimal"/>
      <w:lvlText w:val="%9."/>
      <w:lvlJc w:val="left"/>
      <w:pPr>
        <w:tabs>
          <w:tab w:val="num" w:pos="5774"/>
        </w:tabs>
        <w:ind w:left="5774" w:hanging="360"/>
      </w:pPr>
    </w:lvl>
  </w:abstractNum>
  <w:abstractNum w:abstractNumId="13" w15:restartNumberingAfterBreak="0">
    <w:nsid w:val="1D5D3B94"/>
    <w:multiLevelType w:val="hybridMultilevel"/>
    <w:tmpl w:val="911ED6F4"/>
    <w:lvl w:ilvl="0" w:tplc="04090019">
      <w:start w:val="1"/>
      <w:numFmt w:val="lowerLetter"/>
      <w:lvlText w:val="%1."/>
      <w:lvlJc w:val="left"/>
      <w:pPr>
        <w:tabs>
          <w:tab w:val="num" w:pos="360"/>
        </w:tabs>
        <w:ind w:left="360" w:hanging="360"/>
      </w:pPr>
      <w:rPr>
        <w:sz w:val="18"/>
        <w:szCs w:val="16"/>
      </w:r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4" w15:restartNumberingAfterBreak="0">
    <w:nsid w:val="1E7B19CF"/>
    <w:multiLevelType w:val="hybridMultilevel"/>
    <w:tmpl w:val="C94AD356"/>
    <w:lvl w:ilvl="0" w:tplc="43A43BE6">
      <w:start w:val="1"/>
      <w:numFmt w:val="lowerLetter"/>
      <w:lvlText w:val="%1."/>
      <w:lvlJc w:val="left"/>
      <w:pPr>
        <w:tabs>
          <w:tab w:val="num" w:pos="720"/>
        </w:tabs>
        <w:ind w:left="720" w:hanging="360"/>
      </w:pPr>
      <w:rPr>
        <w:rFonts w:cs="Times New Roman"/>
        <w:strike w:val="0"/>
        <w:dstrike w:val="0"/>
        <w:u w:val="none"/>
        <w:effect w:val="none"/>
      </w:rPr>
    </w:lvl>
    <w:lvl w:ilvl="1" w:tplc="95BCCBAC">
      <w:start w:val="1"/>
      <w:numFmt w:val="decimal"/>
      <w:lvlText w:val="(%2)"/>
      <w:lvlJc w:val="left"/>
      <w:pPr>
        <w:tabs>
          <w:tab w:val="num" w:pos="1440"/>
        </w:tabs>
        <w:ind w:left="1440" w:hanging="360"/>
      </w:pPr>
      <w:rPr>
        <w:b w:val="0"/>
        <w:i w:val="0"/>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5" w15:restartNumberingAfterBreak="0">
    <w:nsid w:val="1FB344F6"/>
    <w:multiLevelType w:val="hybridMultilevel"/>
    <w:tmpl w:val="158E5B16"/>
    <w:lvl w:ilvl="0" w:tplc="DBDAD10E">
      <w:start w:val="1"/>
      <w:numFmt w:val="lowerLetter"/>
      <w:lvlText w:val="%1."/>
      <w:lvlJc w:val="left"/>
      <w:pPr>
        <w:tabs>
          <w:tab w:val="num" w:pos="360"/>
        </w:tabs>
        <w:ind w:left="360" w:hanging="360"/>
      </w:pPr>
      <w:rPr>
        <w:rFonts w:hint="default"/>
        <w:sz w:val="16"/>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21254594"/>
    <w:multiLevelType w:val="hybridMultilevel"/>
    <w:tmpl w:val="B470AFD0"/>
    <w:lvl w:ilvl="0" w:tplc="07FA6272">
      <w:start w:val="1"/>
      <w:numFmt w:val="lowerLetter"/>
      <w:lvlText w:val="(%1)"/>
      <w:lvlJc w:val="left"/>
      <w:pPr>
        <w:tabs>
          <w:tab w:val="num" w:pos="360"/>
        </w:tabs>
        <w:ind w:left="360" w:hanging="360"/>
      </w:pPr>
    </w:lvl>
    <w:lvl w:ilvl="1" w:tplc="04090001">
      <w:start w:val="1"/>
      <w:numFmt w:val="bullet"/>
      <w:lvlText w:val=""/>
      <w:lvlJc w:val="left"/>
      <w:pPr>
        <w:tabs>
          <w:tab w:val="num" w:pos="378"/>
        </w:tabs>
        <w:ind w:left="378" w:hanging="360"/>
      </w:pPr>
      <w:rPr>
        <w:rFonts w:ascii="Symbol" w:hAnsi="Symbol" w:hint="default"/>
        <w:b w:val="0"/>
        <w:i/>
      </w:rPr>
    </w:lvl>
    <w:lvl w:ilvl="2" w:tplc="0409001B">
      <w:start w:val="1"/>
      <w:numFmt w:val="lowerRoman"/>
      <w:lvlText w:val="%3."/>
      <w:lvlJc w:val="right"/>
      <w:pPr>
        <w:tabs>
          <w:tab w:val="num" w:pos="1098"/>
        </w:tabs>
        <w:ind w:left="1098" w:hanging="180"/>
      </w:pPr>
    </w:lvl>
    <w:lvl w:ilvl="3" w:tplc="0409000F">
      <w:start w:val="1"/>
      <w:numFmt w:val="decimal"/>
      <w:lvlText w:val="%4."/>
      <w:lvlJc w:val="left"/>
      <w:pPr>
        <w:tabs>
          <w:tab w:val="num" w:pos="1818"/>
        </w:tabs>
        <w:ind w:left="1818" w:hanging="360"/>
      </w:pPr>
    </w:lvl>
    <w:lvl w:ilvl="4" w:tplc="04090019">
      <w:start w:val="1"/>
      <w:numFmt w:val="lowerLetter"/>
      <w:lvlText w:val="%5."/>
      <w:lvlJc w:val="left"/>
      <w:pPr>
        <w:tabs>
          <w:tab w:val="num" w:pos="2538"/>
        </w:tabs>
        <w:ind w:left="2538" w:hanging="360"/>
      </w:pPr>
    </w:lvl>
    <w:lvl w:ilvl="5" w:tplc="0409001B">
      <w:start w:val="1"/>
      <w:numFmt w:val="lowerRoman"/>
      <w:lvlText w:val="%6."/>
      <w:lvlJc w:val="right"/>
      <w:pPr>
        <w:tabs>
          <w:tab w:val="num" w:pos="3258"/>
        </w:tabs>
        <w:ind w:left="3258" w:hanging="180"/>
      </w:pPr>
    </w:lvl>
    <w:lvl w:ilvl="6" w:tplc="0409000F">
      <w:start w:val="1"/>
      <w:numFmt w:val="decimal"/>
      <w:lvlText w:val="%7."/>
      <w:lvlJc w:val="left"/>
      <w:pPr>
        <w:tabs>
          <w:tab w:val="num" w:pos="3978"/>
        </w:tabs>
        <w:ind w:left="3978" w:hanging="360"/>
      </w:pPr>
    </w:lvl>
    <w:lvl w:ilvl="7" w:tplc="04090019">
      <w:start w:val="1"/>
      <w:numFmt w:val="lowerLetter"/>
      <w:lvlText w:val="%8."/>
      <w:lvlJc w:val="left"/>
      <w:pPr>
        <w:tabs>
          <w:tab w:val="num" w:pos="4698"/>
        </w:tabs>
        <w:ind w:left="4698" w:hanging="360"/>
      </w:pPr>
    </w:lvl>
    <w:lvl w:ilvl="8" w:tplc="0409001B">
      <w:start w:val="1"/>
      <w:numFmt w:val="lowerRoman"/>
      <w:lvlText w:val="%9."/>
      <w:lvlJc w:val="right"/>
      <w:pPr>
        <w:tabs>
          <w:tab w:val="num" w:pos="5418"/>
        </w:tabs>
        <w:ind w:left="5418" w:hanging="180"/>
      </w:pPr>
    </w:lvl>
  </w:abstractNum>
  <w:abstractNum w:abstractNumId="17" w15:restartNumberingAfterBreak="0">
    <w:nsid w:val="2B3A7A94"/>
    <w:multiLevelType w:val="hybridMultilevel"/>
    <w:tmpl w:val="0D0603B4"/>
    <w:lvl w:ilvl="0" w:tplc="F2B817D0">
      <w:start w:val="1"/>
      <w:numFmt w:val="decimal"/>
      <w:lvlText w:val="5.1.1.%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2C8A56A8"/>
    <w:multiLevelType w:val="hybridMultilevel"/>
    <w:tmpl w:val="6F8A5D9C"/>
    <w:lvl w:ilvl="0" w:tplc="F6ACD65A">
      <w:start w:val="1"/>
      <w:numFmt w:val="decimal"/>
      <w:lvlText w:val="1.%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E7509DA"/>
    <w:multiLevelType w:val="hybridMultilevel"/>
    <w:tmpl w:val="2760EC6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EF06FA6"/>
    <w:multiLevelType w:val="hybridMultilevel"/>
    <w:tmpl w:val="E68E7F84"/>
    <w:lvl w:ilvl="0" w:tplc="6DB4FBC0">
      <w:start w:val="1"/>
      <w:numFmt w:val="bullet"/>
      <w:lvlText w:val=""/>
      <w:lvlJc w:val="left"/>
      <w:pPr>
        <w:tabs>
          <w:tab w:val="num" w:pos="360"/>
        </w:tabs>
        <w:ind w:left="360" w:hanging="360"/>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0B7962"/>
    <w:multiLevelType w:val="hybridMultilevel"/>
    <w:tmpl w:val="13AE5CBE"/>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5D3BDA"/>
    <w:multiLevelType w:val="hybridMultilevel"/>
    <w:tmpl w:val="C3D205B6"/>
    <w:lvl w:ilvl="0" w:tplc="C980C7B6">
      <w:start w:val="1"/>
      <w:numFmt w:val="decimal"/>
      <w:lvlText w:val="3.%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DBC1014"/>
    <w:multiLevelType w:val="hybridMultilevel"/>
    <w:tmpl w:val="E02A5B9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41DC5908"/>
    <w:multiLevelType w:val="hybridMultilevel"/>
    <w:tmpl w:val="FE688442"/>
    <w:lvl w:ilvl="0" w:tplc="70BC77D6">
      <w:start w:val="1"/>
      <w:numFmt w:val="decimal"/>
      <w:lvlText w:val="7.2.%1."/>
      <w:lvlJc w:val="righ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20049C6"/>
    <w:multiLevelType w:val="hybridMultilevel"/>
    <w:tmpl w:val="C61E07F0"/>
    <w:lvl w:ilvl="0" w:tplc="EB5CCF34">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7D7448C"/>
    <w:multiLevelType w:val="hybridMultilevel"/>
    <w:tmpl w:val="5B94C192"/>
    <w:lvl w:ilvl="0" w:tplc="04090019">
      <w:start w:val="1"/>
      <w:numFmt w:val="lowerLetter"/>
      <w:lvlText w:val="%1."/>
      <w:lvlJc w:val="left"/>
      <w:pPr>
        <w:tabs>
          <w:tab w:val="num" w:pos="360"/>
        </w:tabs>
        <w:ind w:left="360" w:hanging="360"/>
      </w:pPr>
      <w:rPr>
        <w:sz w:val="18"/>
        <w:szCs w:val="16"/>
      </w:r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27" w15:restartNumberingAfterBreak="0">
    <w:nsid w:val="52097AF9"/>
    <w:multiLevelType w:val="hybridMultilevel"/>
    <w:tmpl w:val="FE5C9C2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52443DC8"/>
    <w:multiLevelType w:val="hybridMultilevel"/>
    <w:tmpl w:val="35EAE46A"/>
    <w:lvl w:ilvl="0" w:tplc="9FC6D630">
      <w:start w:val="22"/>
      <w:numFmt w:val="decimal"/>
      <w:lvlText w:val="%1."/>
      <w:lvlJc w:val="left"/>
      <w:pPr>
        <w:tabs>
          <w:tab w:val="num" w:pos="360"/>
        </w:tabs>
        <w:ind w:left="360" w:hanging="360"/>
      </w:pPr>
      <w:rPr>
        <w:rFonts w:cs="Times New Roman"/>
        <w:b w:val="0"/>
        <w:i w:val="0"/>
      </w:rPr>
    </w:lvl>
    <w:lvl w:ilvl="1" w:tplc="04090019">
      <w:start w:val="1"/>
      <w:numFmt w:val="lowerLetter"/>
      <w:lvlText w:val="%2."/>
      <w:lvlJc w:val="left"/>
      <w:pPr>
        <w:ind w:left="72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9" w15:restartNumberingAfterBreak="0">
    <w:nsid w:val="53547D29"/>
    <w:multiLevelType w:val="hybridMultilevel"/>
    <w:tmpl w:val="B74A0A66"/>
    <w:lvl w:ilvl="0" w:tplc="41083ABC">
      <w:start w:val="1"/>
      <w:numFmt w:val="decimal"/>
      <w:lvlText w:val="6.%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6576C1C"/>
    <w:multiLevelType w:val="hybridMultilevel"/>
    <w:tmpl w:val="E6FE37C6"/>
    <w:lvl w:ilvl="0" w:tplc="2EA6DAE0">
      <w:start w:val="1"/>
      <w:numFmt w:val="decimal"/>
      <w:lvlText w:val="7.3.%1."/>
      <w:lvlJc w:val="right"/>
      <w:pPr>
        <w:ind w:left="2160" w:hanging="18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7A60652"/>
    <w:multiLevelType w:val="hybridMultilevel"/>
    <w:tmpl w:val="EE34EF66"/>
    <w:lvl w:ilvl="0" w:tplc="9D122298">
      <w:start w:val="1"/>
      <w:numFmt w:val="decimal"/>
      <w:lvlText w:val="7.3.3.%1."/>
      <w:lvlJc w:val="left"/>
      <w:pPr>
        <w:ind w:left="720" w:hanging="360"/>
      </w:pPr>
      <w:rPr>
        <w:rFonts w:hint="default"/>
        <w:b/>
        <w:i w:val="0"/>
        <w:u w:val="none"/>
      </w:rPr>
    </w:lvl>
    <w:lvl w:ilvl="1" w:tplc="B8CC16A2">
      <w:start w:val="1"/>
      <w:numFmt w:val="decimal"/>
      <w:lvlText w:val="7.%2."/>
      <w:lvlJc w:val="left"/>
      <w:pPr>
        <w:ind w:left="1440" w:hanging="360"/>
      </w:pPr>
      <w:rPr>
        <w:rFonts w:hint="default"/>
        <w:b/>
      </w:rPr>
    </w:lvl>
    <w:lvl w:ilvl="2" w:tplc="CFD24F68">
      <w:start w:val="1"/>
      <w:numFmt w:val="decimal"/>
      <w:lvlText w:val="7.1.%3."/>
      <w:lvlJc w:val="right"/>
      <w:pPr>
        <w:ind w:left="2160" w:hanging="180"/>
      </w:pPr>
      <w:rPr>
        <w:rFonts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9731FFE"/>
    <w:multiLevelType w:val="hybridMultilevel"/>
    <w:tmpl w:val="1BC84E8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71035591"/>
    <w:multiLevelType w:val="hybridMultilevel"/>
    <w:tmpl w:val="2E98FC02"/>
    <w:lvl w:ilvl="0" w:tplc="04090001">
      <w:start w:val="1"/>
      <w:numFmt w:val="bullet"/>
      <w:lvlText w:val=""/>
      <w:lvlJc w:val="left"/>
      <w:pPr>
        <w:ind w:left="720" w:hanging="360"/>
      </w:pPr>
      <w:rPr>
        <w:rFonts w:ascii="Symbol" w:hAnsi="Symbol" w:hint="default"/>
        <w:b w:val="0"/>
        <w:i/>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5BC7ED3"/>
    <w:multiLevelType w:val="hybridMultilevel"/>
    <w:tmpl w:val="CF046D24"/>
    <w:lvl w:ilvl="0" w:tplc="896695FC">
      <w:start w:val="1"/>
      <w:numFmt w:val="decimal"/>
      <w:lvlText w:val="5.1.%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6D93B73"/>
    <w:multiLevelType w:val="hybridMultilevel"/>
    <w:tmpl w:val="BD169B60"/>
    <w:lvl w:ilvl="0" w:tplc="85C2C9DE">
      <w:start w:val="1"/>
      <w:numFmt w:val="decimal"/>
      <w:lvlText w:val="2.%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78605042"/>
    <w:multiLevelType w:val="hybridMultilevel"/>
    <w:tmpl w:val="5240F94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790B5C8F"/>
    <w:multiLevelType w:val="hybridMultilevel"/>
    <w:tmpl w:val="539019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ABB2BE0"/>
    <w:multiLevelType w:val="hybridMultilevel"/>
    <w:tmpl w:val="EAD0C994"/>
    <w:lvl w:ilvl="0" w:tplc="7916BA8A">
      <w:start w:val="1"/>
      <w:numFmt w:val="lowerLetter"/>
      <w:lvlText w:val="%1."/>
      <w:lvlJc w:val="left"/>
      <w:pPr>
        <w:tabs>
          <w:tab w:val="num" w:pos="720"/>
        </w:tabs>
        <w:ind w:left="720" w:hanging="360"/>
      </w:pPr>
      <w:rPr>
        <w:rFonts w:ascii="Times New Roman" w:hAnsi="Times New Roman" w:cs="Times New Roman" w:hint="default"/>
        <w:sz w:val="18"/>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15:restartNumberingAfterBreak="0">
    <w:nsid w:val="7C4E1C41"/>
    <w:multiLevelType w:val="hybridMultilevel"/>
    <w:tmpl w:val="62106B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7DC1319C"/>
    <w:multiLevelType w:val="hybridMultilevel"/>
    <w:tmpl w:val="2A5C74AA"/>
    <w:lvl w:ilvl="0" w:tplc="04090019">
      <w:start w:val="1"/>
      <w:numFmt w:val="lowerLetter"/>
      <w:lvlText w:val="%1."/>
      <w:lvlJc w:val="left"/>
      <w:pPr>
        <w:tabs>
          <w:tab w:val="num" w:pos="1080"/>
        </w:tabs>
        <w:ind w:left="1080" w:hanging="360"/>
      </w:pPr>
      <w:rPr>
        <w:sz w:val="16"/>
        <w:szCs w:val="16"/>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21"/>
  </w:num>
  <w:num w:numId="2">
    <w:abstractNumId w:val="25"/>
  </w:num>
  <w:num w:numId="3">
    <w:abstractNumId w:val="5"/>
  </w:num>
  <w:num w:numId="4">
    <w:abstractNumId w:val="3"/>
  </w:num>
  <w:num w:numId="5">
    <w:abstractNumId w:val="37"/>
  </w:num>
  <w:num w:numId="6">
    <w:abstractNumId w:val="40"/>
  </w:num>
  <w:num w:numId="7">
    <w:abstractNumId w:val="9"/>
  </w:num>
  <w:num w:numId="8">
    <w:abstractNumId w:val="12"/>
  </w:num>
  <w:num w:numId="9">
    <w:abstractNumId w:val="1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num>
  <w:num w:numId="11">
    <w:abstractNumId w:val="17"/>
  </w:num>
  <w:num w:numId="12">
    <w:abstractNumId w:val="7"/>
  </w:num>
  <w:num w:numId="13">
    <w:abstractNumId w:val="1"/>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3"/>
  </w:num>
  <w:num w:numId="16">
    <w:abstractNumId w:val="24"/>
  </w:num>
  <w:num w:numId="17">
    <w:abstractNumId w:val="30"/>
  </w:num>
  <w:num w:numId="18">
    <w:abstractNumId w:val="31"/>
  </w:num>
  <w:num w:numId="19">
    <w:abstractNumId w:val="6"/>
  </w:num>
  <w:num w:numId="20">
    <w:abstractNumId w:val="2"/>
  </w:num>
  <w:num w:numId="21">
    <w:abstractNumId w:val="13"/>
  </w:num>
  <w:num w:numId="22">
    <w:abstractNumId w:val="29"/>
  </w:num>
  <w:num w:numId="23">
    <w:abstractNumId w:val="10"/>
  </w:num>
  <w:num w:numId="24">
    <w:abstractNumId w:val="26"/>
  </w:num>
  <w:num w:numId="25">
    <w:abstractNumId w:val="20"/>
  </w:num>
  <w:num w:numId="26">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8"/>
  </w:num>
  <w:num w:numId="28">
    <w:abstractNumId w:val="14"/>
  </w:num>
  <w:num w:numId="29">
    <w:abstractNumId w:val="39"/>
  </w:num>
  <w:num w:numId="30">
    <w:abstractNumId w:val="19"/>
  </w:num>
  <w:num w:numId="31">
    <w:abstractNumId w:val="0"/>
  </w:num>
  <w:num w:numId="32">
    <w:abstractNumId w:val="8"/>
  </w:num>
  <w:num w:numId="33">
    <w:abstractNumId w:val="32"/>
  </w:num>
  <w:num w:numId="34">
    <w:abstractNumId w:val="27"/>
  </w:num>
  <w:num w:numId="35">
    <w:abstractNumId w:val="36"/>
  </w:num>
  <w:num w:numId="36">
    <w:abstractNumId w:val="11"/>
  </w:num>
  <w:num w:numId="37">
    <w:abstractNumId w:val="23"/>
  </w:num>
  <w:num w:numId="38">
    <w:abstractNumId w:val="18"/>
  </w:num>
  <w:num w:numId="39">
    <w:abstractNumId w:val="22"/>
  </w:num>
  <w:num w:numId="40">
    <w:abstractNumId w:val="34"/>
  </w:num>
  <w:num w:numId="41">
    <w:abstractNumId w:val="35"/>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360"/>
  <w:displayHorizontalDrawingGridEvery w:val="0"/>
  <w:displayVerticalDrawingGridEvery w:val="0"/>
  <w:doNotUseMarginsForDrawingGridOrigin/>
  <w:noPunctuationKerning/>
  <w:characterSpacingControl w:val="doNotCompress"/>
  <w:hdrShapeDefaults>
    <o:shapedefaults v:ext="edit" spidmax="9523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3F10"/>
    <w:rsid w:val="00001158"/>
    <w:rsid w:val="00001C06"/>
    <w:rsid w:val="000044ED"/>
    <w:rsid w:val="000052AF"/>
    <w:rsid w:val="0000535B"/>
    <w:rsid w:val="00006151"/>
    <w:rsid w:val="00011823"/>
    <w:rsid w:val="00012A83"/>
    <w:rsid w:val="00012D6F"/>
    <w:rsid w:val="00012E2B"/>
    <w:rsid w:val="00013712"/>
    <w:rsid w:val="000158B4"/>
    <w:rsid w:val="00016159"/>
    <w:rsid w:val="00016C49"/>
    <w:rsid w:val="00017A5D"/>
    <w:rsid w:val="00017AF2"/>
    <w:rsid w:val="000209DB"/>
    <w:rsid w:val="000223F6"/>
    <w:rsid w:val="00022E4D"/>
    <w:rsid w:val="00023573"/>
    <w:rsid w:val="00026B09"/>
    <w:rsid w:val="000275CB"/>
    <w:rsid w:val="00033249"/>
    <w:rsid w:val="00034930"/>
    <w:rsid w:val="00034D0E"/>
    <w:rsid w:val="000351AE"/>
    <w:rsid w:val="000359F2"/>
    <w:rsid w:val="0004023F"/>
    <w:rsid w:val="00043FE6"/>
    <w:rsid w:val="00045535"/>
    <w:rsid w:val="00046ABF"/>
    <w:rsid w:val="00046B0F"/>
    <w:rsid w:val="00051E3F"/>
    <w:rsid w:val="0005239E"/>
    <w:rsid w:val="0005354A"/>
    <w:rsid w:val="00054046"/>
    <w:rsid w:val="00055DD2"/>
    <w:rsid w:val="000563E8"/>
    <w:rsid w:val="0005797A"/>
    <w:rsid w:val="000616EB"/>
    <w:rsid w:val="00063488"/>
    <w:rsid w:val="000636BE"/>
    <w:rsid w:val="000651E0"/>
    <w:rsid w:val="00067819"/>
    <w:rsid w:val="00067CDF"/>
    <w:rsid w:val="00076BE4"/>
    <w:rsid w:val="0008140B"/>
    <w:rsid w:val="0008159D"/>
    <w:rsid w:val="000818CB"/>
    <w:rsid w:val="0008288C"/>
    <w:rsid w:val="00083F1D"/>
    <w:rsid w:val="000849AA"/>
    <w:rsid w:val="00086124"/>
    <w:rsid w:val="00087615"/>
    <w:rsid w:val="0009094B"/>
    <w:rsid w:val="00091A78"/>
    <w:rsid w:val="00092FC7"/>
    <w:rsid w:val="00094877"/>
    <w:rsid w:val="000958F2"/>
    <w:rsid w:val="000A0005"/>
    <w:rsid w:val="000A072C"/>
    <w:rsid w:val="000A3AD7"/>
    <w:rsid w:val="000A40CB"/>
    <w:rsid w:val="000A4FB2"/>
    <w:rsid w:val="000B17D3"/>
    <w:rsid w:val="000B28CE"/>
    <w:rsid w:val="000B3948"/>
    <w:rsid w:val="000B3976"/>
    <w:rsid w:val="000B41A1"/>
    <w:rsid w:val="000B55A5"/>
    <w:rsid w:val="000B55BD"/>
    <w:rsid w:val="000B60E2"/>
    <w:rsid w:val="000B7525"/>
    <w:rsid w:val="000C0EC1"/>
    <w:rsid w:val="000C140B"/>
    <w:rsid w:val="000C1A47"/>
    <w:rsid w:val="000C2063"/>
    <w:rsid w:val="000C2AF7"/>
    <w:rsid w:val="000C3B62"/>
    <w:rsid w:val="000C6C3F"/>
    <w:rsid w:val="000C7AE9"/>
    <w:rsid w:val="000D0545"/>
    <w:rsid w:val="000D0B0D"/>
    <w:rsid w:val="000D1C04"/>
    <w:rsid w:val="000D364F"/>
    <w:rsid w:val="000D378C"/>
    <w:rsid w:val="000D485D"/>
    <w:rsid w:val="000D5656"/>
    <w:rsid w:val="000D713F"/>
    <w:rsid w:val="000D7452"/>
    <w:rsid w:val="000E18ED"/>
    <w:rsid w:val="000E1D7B"/>
    <w:rsid w:val="000E26E7"/>
    <w:rsid w:val="000E3EEC"/>
    <w:rsid w:val="000E58E0"/>
    <w:rsid w:val="000E6707"/>
    <w:rsid w:val="000E68D7"/>
    <w:rsid w:val="000E6F0E"/>
    <w:rsid w:val="000E7AA2"/>
    <w:rsid w:val="000F17C9"/>
    <w:rsid w:val="000F306C"/>
    <w:rsid w:val="000F3615"/>
    <w:rsid w:val="000F455B"/>
    <w:rsid w:val="000F61C1"/>
    <w:rsid w:val="0010051F"/>
    <w:rsid w:val="00103E6C"/>
    <w:rsid w:val="00104AE7"/>
    <w:rsid w:val="00105CFF"/>
    <w:rsid w:val="001115BF"/>
    <w:rsid w:val="00111E06"/>
    <w:rsid w:val="00115A27"/>
    <w:rsid w:val="00115F25"/>
    <w:rsid w:val="00116483"/>
    <w:rsid w:val="0012067D"/>
    <w:rsid w:val="00122C6C"/>
    <w:rsid w:val="00122CED"/>
    <w:rsid w:val="00124E58"/>
    <w:rsid w:val="00125384"/>
    <w:rsid w:val="00125986"/>
    <w:rsid w:val="001308AC"/>
    <w:rsid w:val="0013259B"/>
    <w:rsid w:val="001338C8"/>
    <w:rsid w:val="001352E9"/>
    <w:rsid w:val="001376CF"/>
    <w:rsid w:val="00137BB7"/>
    <w:rsid w:val="00141C84"/>
    <w:rsid w:val="00143546"/>
    <w:rsid w:val="001435A4"/>
    <w:rsid w:val="001449AA"/>
    <w:rsid w:val="0015388D"/>
    <w:rsid w:val="00156409"/>
    <w:rsid w:val="00160120"/>
    <w:rsid w:val="00160296"/>
    <w:rsid w:val="00161392"/>
    <w:rsid w:val="00165258"/>
    <w:rsid w:val="00166180"/>
    <w:rsid w:val="00167EA8"/>
    <w:rsid w:val="0017636E"/>
    <w:rsid w:val="00181CFF"/>
    <w:rsid w:val="001825FD"/>
    <w:rsid w:val="00183A69"/>
    <w:rsid w:val="00183DED"/>
    <w:rsid w:val="00183F31"/>
    <w:rsid w:val="00184272"/>
    <w:rsid w:val="0018688D"/>
    <w:rsid w:val="00187243"/>
    <w:rsid w:val="00190881"/>
    <w:rsid w:val="00190915"/>
    <w:rsid w:val="00191AB5"/>
    <w:rsid w:val="001922E1"/>
    <w:rsid w:val="00192982"/>
    <w:rsid w:val="00193F10"/>
    <w:rsid w:val="001947D8"/>
    <w:rsid w:val="001956C5"/>
    <w:rsid w:val="001968B6"/>
    <w:rsid w:val="00196FD4"/>
    <w:rsid w:val="001A2AAB"/>
    <w:rsid w:val="001A3B5B"/>
    <w:rsid w:val="001A4A53"/>
    <w:rsid w:val="001A6E1A"/>
    <w:rsid w:val="001A7ACD"/>
    <w:rsid w:val="001B4961"/>
    <w:rsid w:val="001B615D"/>
    <w:rsid w:val="001C1551"/>
    <w:rsid w:val="001C1628"/>
    <w:rsid w:val="001C5613"/>
    <w:rsid w:val="001C5B16"/>
    <w:rsid w:val="001C6581"/>
    <w:rsid w:val="001C7333"/>
    <w:rsid w:val="001D0226"/>
    <w:rsid w:val="001D0520"/>
    <w:rsid w:val="001D113D"/>
    <w:rsid w:val="001D17E0"/>
    <w:rsid w:val="001D3F32"/>
    <w:rsid w:val="001D55FC"/>
    <w:rsid w:val="001D6845"/>
    <w:rsid w:val="001D6A3A"/>
    <w:rsid w:val="001E1703"/>
    <w:rsid w:val="001E45D7"/>
    <w:rsid w:val="001E66DE"/>
    <w:rsid w:val="001F0774"/>
    <w:rsid w:val="001F1F99"/>
    <w:rsid w:val="001F25CE"/>
    <w:rsid w:val="001F2DEA"/>
    <w:rsid w:val="001F45B2"/>
    <w:rsid w:val="001F7B5A"/>
    <w:rsid w:val="002028DB"/>
    <w:rsid w:val="002033B1"/>
    <w:rsid w:val="002049B1"/>
    <w:rsid w:val="00205773"/>
    <w:rsid w:val="00205948"/>
    <w:rsid w:val="002105AC"/>
    <w:rsid w:val="002114F4"/>
    <w:rsid w:val="002116D3"/>
    <w:rsid w:val="00214E6E"/>
    <w:rsid w:val="00216FF1"/>
    <w:rsid w:val="0022025A"/>
    <w:rsid w:val="00221B0A"/>
    <w:rsid w:val="00221F5A"/>
    <w:rsid w:val="002233B7"/>
    <w:rsid w:val="0022635D"/>
    <w:rsid w:val="00226886"/>
    <w:rsid w:val="00226E61"/>
    <w:rsid w:val="002316D7"/>
    <w:rsid w:val="002320F9"/>
    <w:rsid w:val="0023307B"/>
    <w:rsid w:val="00233487"/>
    <w:rsid w:val="0023502E"/>
    <w:rsid w:val="00235BBC"/>
    <w:rsid w:val="0023692D"/>
    <w:rsid w:val="00242365"/>
    <w:rsid w:val="00242CA3"/>
    <w:rsid w:val="002443DD"/>
    <w:rsid w:val="00244439"/>
    <w:rsid w:val="00244FCE"/>
    <w:rsid w:val="00245904"/>
    <w:rsid w:val="00246271"/>
    <w:rsid w:val="00250206"/>
    <w:rsid w:val="00250D3B"/>
    <w:rsid w:val="00251446"/>
    <w:rsid w:val="00251AB1"/>
    <w:rsid w:val="002528EB"/>
    <w:rsid w:val="00252A9A"/>
    <w:rsid w:val="00261298"/>
    <w:rsid w:val="00261791"/>
    <w:rsid w:val="00262064"/>
    <w:rsid w:val="00262117"/>
    <w:rsid w:val="002628BD"/>
    <w:rsid w:val="002631C0"/>
    <w:rsid w:val="0026404E"/>
    <w:rsid w:val="00264AA9"/>
    <w:rsid w:val="0027154E"/>
    <w:rsid w:val="002720EB"/>
    <w:rsid w:val="0027260C"/>
    <w:rsid w:val="002760CA"/>
    <w:rsid w:val="00277AF3"/>
    <w:rsid w:val="002802C5"/>
    <w:rsid w:val="00280D76"/>
    <w:rsid w:val="00281B5F"/>
    <w:rsid w:val="00282923"/>
    <w:rsid w:val="00282BED"/>
    <w:rsid w:val="0028453E"/>
    <w:rsid w:val="00290626"/>
    <w:rsid w:val="002919F9"/>
    <w:rsid w:val="002937DA"/>
    <w:rsid w:val="00296274"/>
    <w:rsid w:val="00297927"/>
    <w:rsid w:val="00297DC0"/>
    <w:rsid w:val="002A0497"/>
    <w:rsid w:val="002A0A7B"/>
    <w:rsid w:val="002A16DD"/>
    <w:rsid w:val="002A6747"/>
    <w:rsid w:val="002B157B"/>
    <w:rsid w:val="002B7D79"/>
    <w:rsid w:val="002B7E74"/>
    <w:rsid w:val="002C0FF5"/>
    <w:rsid w:val="002C128F"/>
    <w:rsid w:val="002C1609"/>
    <w:rsid w:val="002C2787"/>
    <w:rsid w:val="002C4494"/>
    <w:rsid w:val="002C54A8"/>
    <w:rsid w:val="002D1C76"/>
    <w:rsid w:val="002D5709"/>
    <w:rsid w:val="002D586B"/>
    <w:rsid w:val="002E0861"/>
    <w:rsid w:val="002E1267"/>
    <w:rsid w:val="002E2BDE"/>
    <w:rsid w:val="002E3095"/>
    <w:rsid w:val="002E592E"/>
    <w:rsid w:val="002E7375"/>
    <w:rsid w:val="002E77C6"/>
    <w:rsid w:val="002E7D09"/>
    <w:rsid w:val="002F015B"/>
    <w:rsid w:val="002F1387"/>
    <w:rsid w:val="002F5D2A"/>
    <w:rsid w:val="002F6B9E"/>
    <w:rsid w:val="00301492"/>
    <w:rsid w:val="003029AE"/>
    <w:rsid w:val="00310FB3"/>
    <w:rsid w:val="00313E2B"/>
    <w:rsid w:val="0031418D"/>
    <w:rsid w:val="0031513B"/>
    <w:rsid w:val="00315C3C"/>
    <w:rsid w:val="00315FD9"/>
    <w:rsid w:val="00320911"/>
    <w:rsid w:val="00321E0E"/>
    <w:rsid w:val="003227EE"/>
    <w:rsid w:val="0032325C"/>
    <w:rsid w:val="003237BB"/>
    <w:rsid w:val="0032601F"/>
    <w:rsid w:val="003260CF"/>
    <w:rsid w:val="003276FC"/>
    <w:rsid w:val="00331207"/>
    <w:rsid w:val="00331C09"/>
    <w:rsid w:val="003330FD"/>
    <w:rsid w:val="0033427D"/>
    <w:rsid w:val="00334492"/>
    <w:rsid w:val="00336291"/>
    <w:rsid w:val="00337A76"/>
    <w:rsid w:val="00337DE9"/>
    <w:rsid w:val="00340FB9"/>
    <w:rsid w:val="00341505"/>
    <w:rsid w:val="00342723"/>
    <w:rsid w:val="003436FD"/>
    <w:rsid w:val="00343A65"/>
    <w:rsid w:val="0034468B"/>
    <w:rsid w:val="003463F9"/>
    <w:rsid w:val="003466F7"/>
    <w:rsid w:val="00347B35"/>
    <w:rsid w:val="00347B7D"/>
    <w:rsid w:val="003522F9"/>
    <w:rsid w:val="00355957"/>
    <w:rsid w:val="0035627C"/>
    <w:rsid w:val="00356646"/>
    <w:rsid w:val="00361818"/>
    <w:rsid w:val="00361C74"/>
    <w:rsid w:val="0036716F"/>
    <w:rsid w:val="00372B33"/>
    <w:rsid w:val="003730B4"/>
    <w:rsid w:val="00373183"/>
    <w:rsid w:val="0037352D"/>
    <w:rsid w:val="003739F0"/>
    <w:rsid w:val="00373ECE"/>
    <w:rsid w:val="0037424C"/>
    <w:rsid w:val="00375D72"/>
    <w:rsid w:val="003765F9"/>
    <w:rsid w:val="00381316"/>
    <w:rsid w:val="0038211E"/>
    <w:rsid w:val="00383145"/>
    <w:rsid w:val="00384D60"/>
    <w:rsid w:val="00385878"/>
    <w:rsid w:val="00390592"/>
    <w:rsid w:val="00392ACA"/>
    <w:rsid w:val="00394EBA"/>
    <w:rsid w:val="003954FF"/>
    <w:rsid w:val="00395B73"/>
    <w:rsid w:val="00397ADF"/>
    <w:rsid w:val="003A197A"/>
    <w:rsid w:val="003A300A"/>
    <w:rsid w:val="003A4193"/>
    <w:rsid w:val="003A4371"/>
    <w:rsid w:val="003A7784"/>
    <w:rsid w:val="003B0F1A"/>
    <w:rsid w:val="003B2442"/>
    <w:rsid w:val="003B2861"/>
    <w:rsid w:val="003B2AA6"/>
    <w:rsid w:val="003B4304"/>
    <w:rsid w:val="003B4AF0"/>
    <w:rsid w:val="003C0A32"/>
    <w:rsid w:val="003C1AA4"/>
    <w:rsid w:val="003C1D18"/>
    <w:rsid w:val="003C25A5"/>
    <w:rsid w:val="003C416C"/>
    <w:rsid w:val="003C6F2D"/>
    <w:rsid w:val="003C7DFA"/>
    <w:rsid w:val="003D02D6"/>
    <w:rsid w:val="003D1DF6"/>
    <w:rsid w:val="003D2907"/>
    <w:rsid w:val="003D3027"/>
    <w:rsid w:val="003E3FA4"/>
    <w:rsid w:val="003E6E67"/>
    <w:rsid w:val="003E7484"/>
    <w:rsid w:val="003E7635"/>
    <w:rsid w:val="003F030F"/>
    <w:rsid w:val="003F04EB"/>
    <w:rsid w:val="003F33DD"/>
    <w:rsid w:val="003F4EBD"/>
    <w:rsid w:val="003F5029"/>
    <w:rsid w:val="003F57E4"/>
    <w:rsid w:val="003F5C4A"/>
    <w:rsid w:val="00402036"/>
    <w:rsid w:val="004025A0"/>
    <w:rsid w:val="00402C36"/>
    <w:rsid w:val="00404242"/>
    <w:rsid w:val="00404EDF"/>
    <w:rsid w:val="00406CD2"/>
    <w:rsid w:val="00412E2A"/>
    <w:rsid w:val="004134BE"/>
    <w:rsid w:val="00414533"/>
    <w:rsid w:val="0041591E"/>
    <w:rsid w:val="00416386"/>
    <w:rsid w:val="004210EC"/>
    <w:rsid w:val="004235F9"/>
    <w:rsid w:val="00424AB3"/>
    <w:rsid w:val="0042540E"/>
    <w:rsid w:val="004261FA"/>
    <w:rsid w:val="004268B8"/>
    <w:rsid w:val="00427FD1"/>
    <w:rsid w:val="0043024A"/>
    <w:rsid w:val="00430341"/>
    <w:rsid w:val="00433DCC"/>
    <w:rsid w:val="004351B0"/>
    <w:rsid w:val="00440107"/>
    <w:rsid w:val="0044022B"/>
    <w:rsid w:val="004430C1"/>
    <w:rsid w:val="00447A7C"/>
    <w:rsid w:val="00451599"/>
    <w:rsid w:val="004518E0"/>
    <w:rsid w:val="00451D40"/>
    <w:rsid w:val="00452A0C"/>
    <w:rsid w:val="00452F5B"/>
    <w:rsid w:val="004555A4"/>
    <w:rsid w:val="00456616"/>
    <w:rsid w:val="004572AE"/>
    <w:rsid w:val="00460F32"/>
    <w:rsid w:val="004611A3"/>
    <w:rsid w:val="004614FC"/>
    <w:rsid w:val="00461BD3"/>
    <w:rsid w:val="0046318C"/>
    <w:rsid w:val="004661E5"/>
    <w:rsid w:val="0046769E"/>
    <w:rsid w:val="00471950"/>
    <w:rsid w:val="00473776"/>
    <w:rsid w:val="00473AAE"/>
    <w:rsid w:val="00475E35"/>
    <w:rsid w:val="0047651F"/>
    <w:rsid w:val="00481144"/>
    <w:rsid w:val="004813D2"/>
    <w:rsid w:val="004815EB"/>
    <w:rsid w:val="0048269A"/>
    <w:rsid w:val="00484662"/>
    <w:rsid w:val="00485F24"/>
    <w:rsid w:val="00492742"/>
    <w:rsid w:val="004950F5"/>
    <w:rsid w:val="00495F14"/>
    <w:rsid w:val="0049695E"/>
    <w:rsid w:val="004971CA"/>
    <w:rsid w:val="004A142E"/>
    <w:rsid w:val="004A1D9B"/>
    <w:rsid w:val="004A223C"/>
    <w:rsid w:val="004A313B"/>
    <w:rsid w:val="004A379D"/>
    <w:rsid w:val="004A4ACA"/>
    <w:rsid w:val="004A4FC5"/>
    <w:rsid w:val="004A73AB"/>
    <w:rsid w:val="004A745B"/>
    <w:rsid w:val="004B211F"/>
    <w:rsid w:val="004B2C7D"/>
    <w:rsid w:val="004B52A8"/>
    <w:rsid w:val="004B6AAC"/>
    <w:rsid w:val="004B7386"/>
    <w:rsid w:val="004C017B"/>
    <w:rsid w:val="004C157E"/>
    <w:rsid w:val="004C35F8"/>
    <w:rsid w:val="004C3C33"/>
    <w:rsid w:val="004C5592"/>
    <w:rsid w:val="004C5677"/>
    <w:rsid w:val="004C5EE8"/>
    <w:rsid w:val="004C6CF3"/>
    <w:rsid w:val="004C7944"/>
    <w:rsid w:val="004D05F9"/>
    <w:rsid w:val="004D09F9"/>
    <w:rsid w:val="004D13BE"/>
    <w:rsid w:val="004E0A7F"/>
    <w:rsid w:val="004E1151"/>
    <w:rsid w:val="004E479B"/>
    <w:rsid w:val="004E5A1C"/>
    <w:rsid w:val="004E6372"/>
    <w:rsid w:val="004F1DB1"/>
    <w:rsid w:val="004F3CA9"/>
    <w:rsid w:val="004F496C"/>
    <w:rsid w:val="004F6299"/>
    <w:rsid w:val="004F7A4C"/>
    <w:rsid w:val="00501357"/>
    <w:rsid w:val="00501D1B"/>
    <w:rsid w:val="00503319"/>
    <w:rsid w:val="00503B17"/>
    <w:rsid w:val="00505CBD"/>
    <w:rsid w:val="00505FEB"/>
    <w:rsid w:val="00507547"/>
    <w:rsid w:val="00507788"/>
    <w:rsid w:val="00507D3C"/>
    <w:rsid w:val="00510FD4"/>
    <w:rsid w:val="00511976"/>
    <w:rsid w:val="00512819"/>
    <w:rsid w:val="00513871"/>
    <w:rsid w:val="00514F0E"/>
    <w:rsid w:val="005160B9"/>
    <w:rsid w:val="00521B03"/>
    <w:rsid w:val="00523C8E"/>
    <w:rsid w:val="00527461"/>
    <w:rsid w:val="005276C4"/>
    <w:rsid w:val="00527A4C"/>
    <w:rsid w:val="00530A5B"/>
    <w:rsid w:val="0053136E"/>
    <w:rsid w:val="005313C6"/>
    <w:rsid w:val="00531893"/>
    <w:rsid w:val="005325B9"/>
    <w:rsid w:val="00534D5F"/>
    <w:rsid w:val="005400FE"/>
    <w:rsid w:val="0054217E"/>
    <w:rsid w:val="00542288"/>
    <w:rsid w:val="0054230A"/>
    <w:rsid w:val="00545DE4"/>
    <w:rsid w:val="00545F8C"/>
    <w:rsid w:val="00546312"/>
    <w:rsid w:val="005474F1"/>
    <w:rsid w:val="00547EF1"/>
    <w:rsid w:val="00553525"/>
    <w:rsid w:val="00554156"/>
    <w:rsid w:val="005549B4"/>
    <w:rsid w:val="005549D6"/>
    <w:rsid w:val="005566DE"/>
    <w:rsid w:val="005601DE"/>
    <w:rsid w:val="00560DAF"/>
    <w:rsid w:val="0056307C"/>
    <w:rsid w:val="00563792"/>
    <w:rsid w:val="005639B0"/>
    <w:rsid w:val="00564493"/>
    <w:rsid w:val="005648A9"/>
    <w:rsid w:val="005667BA"/>
    <w:rsid w:val="00567B08"/>
    <w:rsid w:val="00570950"/>
    <w:rsid w:val="005741EE"/>
    <w:rsid w:val="0057492B"/>
    <w:rsid w:val="0057588C"/>
    <w:rsid w:val="00584C87"/>
    <w:rsid w:val="00584D97"/>
    <w:rsid w:val="00585B1F"/>
    <w:rsid w:val="00585C59"/>
    <w:rsid w:val="005861EE"/>
    <w:rsid w:val="00590E97"/>
    <w:rsid w:val="00592269"/>
    <w:rsid w:val="00592812"/>
    <w:rsid w:val="00593A56"/>
    <w:rsid w:val="00594694"/>
    <w:rsid w:val="005960E7"/>
    <w:rsid w:val="00596274"/>
    <w:rsid w:val="00597D05"/>
    <w:rsid w:val="005A26C9"/>
    <w:rsid w:val="005A3A96"/>
    <w:rsid w:val="005A4E69"/>
    <w:rsid w:val="005A5BAB"/>
    <w:rsid w:val="005A6EDC"/>
    <w:rsid w:val="005A7630"/>
    <w:rsid w:val="005A774B"/>
    <w:rsid w:val="005A7C83"/>
    <w:rsid w:val="005B0813"/>
    <w:rsid w:val="005B312A"/>
    <w:rsid w:val="005B7512"/>
    <w:rsid w:val="005B7AB3"/>
    <w:rsid w:val="005C0AC8"/>
    <w:rsid w:val="005C1A65"/>
    <w:rsid w:val="005C5378"/>
    <w:rsid w:val="005D1870"/>
    <w:rsid w:val="005D2DB7"/>
    <w:rsid w:val="005D43C1"/>
    <w:rsid w:val="005D4CC7"/>
    <w:rsid w:val="005D5107"/>
    <w:rsid w:val="005D545D"/>
    <w:rsid w:val="005D5AAA"/>
    <w:rsid w:val="005D72EE"/>
    <w:rsid w:val="005D7C07"/>
    <w:rsid w:val="005E14BE"/>
    <w:rsid w:val="005E437C"/>
    <w:rsid w:val="005E658E"/>
    <w:rsid w:val="005F0504"/>
    <w:rsid w:val="005F0D2C"/>
    <w:rsid w:val="005F1032"/>
    <w:rsid w:val="005F105C"/>
    <w:rsid w:val="005F13D4"/>
    <w:rsid w:val="005F1FD9"/>
    <w:rsid w:val="005F3FF9"/>
    <w:rsid w:val="005F5A1C"/>
    <w:rsid w:val="005F6F3B"/>
    <w:rsid w:val="005F71F7"/>
    <w:rsid w:val="005F7F5E"/>
    <w:rsid w:val="006006F2"/>
    <w:rsid w:val="00603D40"/>
    <w:rsid w:val="00604881"/>
    <w:rsid w:val="00604B71"/>
    <w:rsid w:val="00604DF6"/>
    <w:rsid w:val="00604E12"/>
    <w:rsid w:val="00607190"/>
    <w:rsid w:val="00610A62"/>
    <w:rsid w:val="0061320D"/>
    <w:rsid w:val="00614ACE"/>
    <w:rsid w:val="006162EC"/>
    <w:rsid w:val="006214B7"/>
    <w:rsid w:val="00621A27"/>
    <w:rsid w:val="006257E8"/>
    <w:rsid w:val="00625B42"/>
    <w:rsid w:val="00632E5D"/>
    <w:rsid w:val="00634489"/>
    <w:rsid w:val="00634A36"/>
    <w:rsid w:val="00634DC3"/>
    <w:rsid w:val="00635AF2"/>
    <w:rsid w:val="00636017"/>
    <w:rsid w:val="0063744C"/>
    <w:rsid w:val="00640484"/>
    <w:rsid w:val="00640FC1"/>
    <w:rsid w:val="0064146C"/>
    <w:rsid w:val="006426AC"/>
    <w:rsid w:val="00644E48"/>
    <w:rsid w:val="0064614E"/>
    <w:rsid w:val="00647078"/>
    <w:rsid w:val="006470D0"/>
    <w:rsid w:val="00647228"/>
    <w:rsid w:val="00650014"/>
    <w:rsid w:val="006507BD"/>
    <w:rsid w:val="00653821"/>
    <w:rsid w:val="00653DB0"/>
    <w:rsid w:val="006544F7"/>
    <w:rsid w:val="0065522D"/>
    <w:rsid w:val="00655321"/>
    <w:rsid w:val="00656136"/>
    <w:rsid w:val="006602BB"/>
    <w:rsid w:val="00660370"/>
    <w:rsid w:val="00662938"/>
    <w:rsid w:val="00663680"/>
    <w:rsid w:val="00663DA9"/>
    <w:rsid w:val="00665B70"/>
    <w:rsid w:val="00670050"/>
    <w:rsid w:val="00670CBA"/>
    <w:rsid w:val="0067144D"/>
    <w:rsid w:val="00671689"/>
    <w:rsid w:val="006718B6"/>
    <w:rsid w:val="00671C2A"/>
    <w:rsid w:val="00672245"/>
    <w:rsid w:val="00672CDB"/>
    <w:rsid w:val="0067358C"/>
    <w:rsid w:val="0067490E"/>
    <w:rsid w:val="00675ABA"/>
    <w:rsid w:val="00680192"/>
    <w:rsid w:val="00682088"/>
    <w:rsid w:val="00682A17"/>
    <w:rsid w:val="00687326"/>
    <w:rsid w:val="00687A6E"/>
    <w:rsid w:val="0069077B"/>
    <w:rsid w:val="00691E74"/>
    <w:rsid w:val="00692842"/>
    <w:rsid w:val="006940EF"/>
    <w:rsid w:val="006952DA"/>
    <w:rsid w:val="0069678A"/>
    <w:rsid w:val="00696D3C"/>
    <w:rsid w:val="006A0B7F"/>
    <w:rsid w:val="006A1AF5"/>
    <w:rsid w:val="006A385B"/>
    <w:rsid w:val="006A4F69"/>
    <w:rsid w:val="006A6303"/>
    <w:rsid w:val="006A7075"/>
    <w:rsid w:val="006B2217"/>
    <w:rsid w:val="006B4E4F"/>
    <w:rsid w:val="006B54E4"/>
    <w:rsid w:val="006B5AEF"/>
    <w:rsid w:val="006B6669"/>
    <w:rsid w:val="006B6EBA"/>
    <w:rsid w:val="006B7C5D"/>
    <w:rsid w:val="006C0F21"/>
    <w:rsid w:val="006C0FA9"/>
    <w:rsid w:val="006C1465"/>
    <w:rsid w:val="006C19BE"/>
    <w:rsid w:val="006C1F9A"/>
    <w:rsid w:val="006C3529"/>
    <w:rsid w:val="006C44A4"/>
    <w:rsid w:val="006C4E4B"/>
    <w:rsid w:val="006D5594"/>
    <w:rsid w:val="006D5FCC"/>
    <w:rsid w:val="006E080A"/>
    <w:rsid w:val="006E426E"/>
    <w:rsid w:val="006E602D"/>
    <w:rsid w:val="006E6341"/>
    <w:rsid w:val="006E6EF1"/>
    <w:rsid w:val="006E7C65"/>
    <w:rsid w:val="006F0D3A"/>
    <w:rsid w:val="006F1A79"/>
    <w:rsid w:val="006F1FB2"/>
    <w:rsid w:val="007008FB"/>
    <w:rsid w:val="00701CA9"/>
    <w:rsid w:val="00701E15"/>
    <w:rsid w:val="00702728"/>
    <w:rsid w:val="00704E6B"/>
    <w:rsid w:val="00706856"/>
    <w:rsid w:val="00707C07"/>
    <w:rsid w:val="00707F26"/>
    <w:rsid w:val="00710922"/>
    <w:rsid w:val="00711543"/>
    <w:rsid w:val="007119AD"/>
    <w:rsid w:val="007127F7"/>
    <w:rsid w:val="00714117"/>
    <w:rsid w:val="0071502A"/>
    <w:rsid w:val="00715714"/>
    <w:rsid w:val="007204D0"/>
    <w:rsid w:val="00721FED"/>
    <w:rsid w:val="00726111"/>
    <w:rsid w:val="00730F9C"/>
    <w:rsid w:val="007341C2"/>
    <w:rsid w:val="007342AB"/>
    <w:rsid w:val="00734A06"/>
    <w:rsid w:val="00737214"/>
    <w:rsid w:val="00737BF8"/>
    <w:rsid w:val="00740CC3"/>
    <w:rsid w:val="00740D4D"/>
    <w:rsid w:val="00741F1A"/>
    <w:rsid w:val="007433E4"/>
    <w:rsid w:val="00744C49"/>
    <w:rsid w:val="00746205"/>
    <w:rsid w:val="0074684A"/>
    <w:rsid w:val="00747F75"/>
    <w:rsid w:val="007506AF"/>
    <w:rsid w:val="007508BC"/>
    <w:rsid w:val="00751270"/>
    <w:rsid w:val="00751BBD"/>
    <w:rsid w:val="00752E0D"/>
    <w:rsid w:val="00752E15"/>
    <w:rsid w:val="00753DF3"/>
    <w:rsid w:val="00760337"/>
    <w:rsid w:val="00760D84"/>
    <w:rsid w:val="00760F11"/>
    <w:rsid w:val="00761577"/>
    <w:rsid w:val="00761932"/>
    <w:rsid w:val="00762FA0"/>
    <w:rsid w:val="007645FA"/>
    <w:rsid w:val="007707A3"/>
    <w:rsid w:val="00770B0F"/>
    <w:rsid w:val="0077110B"/>
    <w:rsid w:val="007716A0"/>
    <w:rsid w:val="00772CAA"/>
    <w:rsid w:val="00773DB3"/>
    <w:rsid w:val="00777FAF"/>
    <w:rsid w:val="007807B3"/>
    <w:rsid w:val="00782214"/>
    <w:rsid w:val="007822A9"/>
    <w:rsid w:val="00786B70"/>
    <w:rsid w:val="007879FF"/>
    <w:rsid w:val="00790134"/>
    <w:rsid w:val="00791CD2"/>
    <w:rsid w:val="0079288B"/>
    <w:rsid w:val="00793C64"/>
    <w:rsid w:val="00793D5F"/>
    <w:rsid w:val="00794FBF"/>
    <w:rsid w:val="0079673B"/>
    <w:rsid w:val="007975B0"/>
    <w:rsid w:val="007A2543"/>
    <w:rsid w:val="007A2C43"/>
    <w:rsid w:val="007B2218"/>
    <w:rsid w:val="007B341C"/>
    <w:rsid w:val="007B3B7E"/>
    <w:rsid w:val="007B5518"/>
    <w:rsid w:val="007B5833"/>
    <w:rsid w:val="007C263B"/>
    <w:rsid w:val="007C3440"/>
    <w:rsid w:val="007C4CC4"/>
    <w:rsid w:val="007C4FBC"/>
    <w:rsid w:val="007C5838"/>
    <w:rsid w:val="007D02A5"/>
    <w:rsid w:val="007D1A14"/>
    <w:rsid w:val="007D3237"/>
    <w:rsid w:val="007E0264"/>
    <w:rsid w:val="007E1D4E"/>
    <w:rsid w:val="007E2B65"/>
    <w:rsid w:val="007E327F"/>
    <w:rsid w:val="007E45EB"/>
    <w:rsid w:val="007E603A"/>
    <w:rsid w:val="007E7A1B"/>
    <w:rsid w:val="007F04BE"/>
    <w:rsid w:val="007F0B09"/>
    <w:rsid w:val="007F4C19"/>
    <w:rsid w:val="007F74A7"/>
    <w:rsid w:val="00800F7C"/>
    <w:rsid w:val="008028FE"/>
    <w:rsid w:val="00802C3E"/>
    <w:rsid w:val="00804A73"/>
    <w:rsid w:val="0080550B"/>
    <w:rsid w:val="0080785C"/>
    <w:rsid w:val="008109E1"/>
    <w:rsid w:val="00810A62"/>
    <w:rsid w:val="0081157D"/>
    <w:rsid w:val="00811AC7"/>
    <w:rsid w:val="00811F29"/>
    <w:rsid w:val="00812741"/>
    <w:rsid w:val="00813603"/>
    <w:rsid w:val="008136FF"/>
    <w:rsid w:val="00813972"/>
    <w:rsid w:val="0081494F"/>
    <w:rsid w:val="0081537C"/>
    <w:rsid w:val="008169EA"/>
    <w:rsid w:val="00817CA4"/>
    <w:rsid w:val="00820919"/>
    <w:rsid w:val="008219CB"/>
    <w:rsid w:val="008221EC"/>
    <w:rsid w:val="00824057"/>
    <w:rsid w:val="00824C28"/>
    <w:rsid w:val="00825DBB"/>
    <w:rsid w:val="00825FCF"/>
    <w:rsid w:val="00826C9C"/>
    <w:rsid w:val="00827D25"/>
    <w:rsid w:val="00831D2B"/>
    <w:rsid w:val="00833FF5"/>
    <w:rsid w:val="008356D9"/>
    <w:rsid w:val="008361B5"/>
    <w:rsid w:val="0084019D"/>
    <w:rsid w:val="0084141E"/>
    <w:rsid w:val="008420FA"/>
    <w:rsid w:val="008432CD"/>
    <w:rsid w:val="00844FE5"/>
    <w:rsid w:val="00845550"/>
    <w:rsid w:val="00845920"/>
    <w:rsid w:val="008467E0"/>
    <w:rsid w:val="008474FC"/>
    <w:rsid w:val="00850581"/>
    <w:rsid w:val="00851469"/>
    <w:rsid w:val="008524D5"/>
    <w:rsid w:val="00854AE9"/>
    <w:rsid w:val="00855300"/>
    <w:rsid w:val="00855525"/>
    <w:rsid w:val="008579B9"/>
    <w:rsid w:val="00861B58"/>
    <w:rsid w:val="00863470"/>
    <w:rsid w:val="00865250"/>
    <w:rsid w:val="0087007E"/>
    <w:rsid w:val="008724B6"/>
    <w:rsid w:val="00874A0F"/>
    <w:rsid w:val="008750FE"/>
    <w:rsid w:val="00875351"/>
    <w:rsid w:val="00875D2B"/>
    <w:rsid w:val="008764FD"/>
    <w:rsid w:val="00876C2C"/>
    <w:rsid w:val="00877E2D"/>
    <w:rsid w:val="008808D8"/>
    <w:rsid w:val="0088130C"/>
    <w:rsid w:val="00882C9D"/>
    <w:rsid w:val="0088637A"/>
    <w:rsid w:val="00892FF3"/>
    <w:rsid w:val="00893CDE"/>
    <w:rsid w:val="00897825"/>
    <w:rsid w:val="008A168A"/>
    <w:rsid w:val="008A219C"/>
    <w:rsid w:val="008A3636"/>
    <w:rsid w:val="008A39DD"/>
    <w:rsid w:val="008A420F"/>
    <w:rsid w:val="008A4B00"/>
    <w:rsid w:val="008A58ED"/>
    <w:rsid w:val="008A5A11"/>
    <w:rsid w:val="008B0486"/>
    <w:rsid w:val="008B471B"/>
    <w:rsid w:val="008B5853"/>
    <w:rsid w:val="008B75B1"/>
    <w:rsid w:val="008C0A50"/>
    <w:rsid w:val="008C0E1C"/>
    <w:rsid w:val="008C3579"/>
    <w:rsid w:val="008C71C1"/>
    <w:rsid w:val="008D00D2"/>
    <w:rsid w:val="008D0848"/>
    <w:rsid w:val="008D0F62"/>
    <w:rsid w:val="008D26C5"/>
    <w:rsid w:val="008D3386"/>
    <w:rsid w:val="008D403F"/>
    <w:rsid w:val="008D4809"/>
    <w:rsid w:val="008D49FF"/>
    <w:rsid w:val="008D6090"/>
    <w:rsid w:val="008D6474"/>
    <w:rsid w:val="008D7577"/>
    <w:rsid w:val="008E157C"/>
    <w:rsid w:val="008E1BAB"/>
    <w:rsid w:val="008E4923"/>
    <w:rsid w:val="008F0AB0"/>
    <w:rsid w:val="008F2683"/>
    <w:rsid w:val="008F4823"/>
    <w:rsid w:val="008F6920"/>
    <w:rsid w:val="008F6B40"/>
    <w:rsid w:val="009040E5"/>
    <w:rsid w:val="00904B92"/>
    <w:rsid w:val="00905AD5"/>
    <w:rsid w:val="009061EC"/>
    <w:rsid w:val="0090758D"/>
    <w:rsid w:val="009110D9"/>
    <w:rsid w:val="00911FA8"/>
    <w:rsid w:val="009144F8"/>
    <w:rsid w:val="0091476D"/>
    <w:rsid w:val="00914B2C"/>
    <w:rsid w:val="00917249"/>
    <w:rsid w:val="00920983"/>
    <w:rsid w:val="00920F4E"/>
    <w:rsid w:val="009248A2"/>
    <w:rsid w:val="0092495B"/>
    <w:rsid w:val="00926091"/>
    <w:rsid w:val="0092688D"/>
    <w:rsid w:val="00930709"/>
    <w:rsid w:val="00931320"/>
    <w:rsid w:val="009314CC"/>
    <w:rsid w:val="0093162B"/>
    <w:rsid w:val="00931A1A"/>
    <w:rsid w:val="009325A6"/>
    <w:rsid w:val="00933CE7"/>
    <w:rsid w:val="00935520"/>
    <w:rsid w:val="00937139"/>
    <w:rsid w:val="00937D34"/>
    <w:rsid w:val="00941DA9"/>
    <w:rsid w:val="00941E6D"/>
    <w:rsid w:val="00942F95"/>
    <w:rsid w:val="00943783"/>
    <w:rsid w:val="00946101"/>
    <w:rsid w:val="00951BFD"/>
    <w:rsid w:val="00951EC1"/>
    <w:rsid w:val="00954C4D"/>
    <w:rsid w:val="00955818"/>
    <w:rsid w:val="00956164"/>
    <w:rsid w:val="00962BE4"/>
    <w:rsid w:val="0096359D"/>
    <w:rsid w:val="009635D3"/>
    <w:rsid w:val="00965A33"/>
    <w:rsid w:val="00965AB9"/>
    <w:rsid w:val="00965B39"/>
    <w:rsid w:val="00965D6A"/>
    <w:rsid w:val="00966091"/>
    <w:rsid w:val="0096676C"/>
    <w:rsid w:val="00966D7D"/>
    <w:rsid w:val="009676D7"/>
    <w:rsid w:val="009677A9"/>
    <w:rsid w:val="00967B22"/>
    <w:rsid w:val="00967D59"/>
    <w:rsid w:val="0097001D"/>
    <w:rsid w:val="009708B1"/>
    <w:rsid w:val="0097267D"/>
    <w:rsid w:val="00980BE0"/>
    <w:rsid w:val="009814E2"/>
    <w:rsid w:val="009822F6"/>
    <w:rsid w:val="00982B0B"/>
    <w:rsid w:val="00984678"/>
    <w:rsid w:val="009903C7"/>
    <w:rsid w:val="00990A1F"/>
    <w:rsid w:val="00991B49"/>
    <w:rsid w:val="0099533C"/>
    <w:rsid w:val="009A1407"/>
    <w:rsid w:val="009A45E4"/>
    <w:rsid w:val="009A4F4E"/>
    <w:rsid w:val="009A4FA4"/>
    <w:rsid w:val="009A539A"/>
    <w:rsid w:val="009A5435"/>
    <w:rsid w:val="009A62E8"/>
    <w:rsid w:val="009B04BC"/>
    <w:rsid w:val="009B09F0"/>
    <w:rsid w:val="009B396B"/>
    <w:rsid w:val="009B6F53"/>
    <w:rsid w:val="009B7096"/>
    <w:rsid w:val="009C07A8"/>
    <w:rsid w:val="009C0AD5"/>
    <w:rsid w:val="009C1E89"/>
    <w:rsid w:val="009C20B4"/>
    <w:rsid w:val="009C2B4E"/>
    <w:rsid w:val="009C3794"/>
    <w:rsid w:val="009C4A70"/>
    <w:rsid w:val="009C6A8E"/>
    <w:rsid w:val="009C78A9"/>
    <w:rsid w:val="009D3847"/>
    <w:rsid w:val="009D5026"/>
    <w:rsid w:val="009D7B6F"/>
    <w:rsid w:val="009E0A5E"/>
    <w:rsid w:val="009E0B4A"/>
    <w:rsid w:val="009E4242"/>
    <w:rsid w:val="009E441C"/>
    <w:rsid w:val="009E46B3"/>
    <w:rsid w:val="009E6E72"/>
    <w:rsid w:val="009F0E5B"/>
    <w:rsid w:val="009F4147"/>
    <w:rsid w:val="009F62CD"/>
    <w:rsid w:val="009F6CA3"/>
    <w:rsid w:val="00A03455"/>
    <w:rsid w:val="00A044F2"/>
    <w:rsid w:val="00A0467F"/>
    <w:rsid w:val="00A06CE1"/>
    <w:rsid w:val="00A11186"/>
    <w:rsid w:val="00A11BE7"/>
    <w:rsid w:val="00A12BE9"/>
    <w:rsid w:val="00A13429"/>
    <w:rsid w:val="00A135A3"/>
    <w:rsid w:val="00A13F09"/>
    <w:rsid w:val="00A14002"/>
    <w:rsid w:val="00A154EE"/>
    <w:rsid w:val="00A1749F"/>
    <w:rsid w:val="00A2063B"/>
    <w:rsid w:val="00A2068C"/>
    <w:rsid w:val="00A20895"/>
    <w:rsid w:val="00A2237D"/>
    <w:rsid w:val="00A22F78"/>
    <w:rsid w:val="00A259DE"/>
    <w:rsid w:val="00A26DEA"/>
    <w:rsid w:val="00A2728B"/>
    <w:rsid w:val="00A27AE9"/>
    <w:rsid w:val="00A3051E"/>
    <w:rsid w:val="00A31F91"/>
    <w:rsid w:val="00A332C7"/>
    <w:rsid w:val="00A33320"/>
    <w:rsid w:val="00A33CDF"/>
    <w:rsid w:val="00A34717"/>
    <w:rsid w:val="00A3539B"/>
    <w:rsid w:val="00A356F6"/>
    <w:rsid w:val="00A35D87"/>
    <w:rsid w:val="00A35FD4"/>
    <w:rsid w:val="00A364E6"/>
    <w:rsid w:val="00A36B1E"/>
    <w:rsid w:val="00A37EF5"/>
    <w:rsid w:val="00A41D56"/>
    <w:rsid w:val="00A421EC"/>
    <w:rsid w:val="00A4478F"/>
    <w:rsid w:val="00A47E4E"/>
    <w:rsid w:val="00A5138C"/>
    <w:rsid w:val="00A52808"/>
    <w:rsid w:val="00A528A3"/>
    <w:rsid w:val="00A535BF"/>
    <w:rsid w:val="00A54705"/>
    <w:rsid w:val="00A55220"/>
    <w:rsid w:val="00A552F9"/>
    <w:rsid w:val="00A55C44"/>
    <w:rsid w:val="00A560BC"/>
    <w:rsid w:val="00A60051"/>
    <w:rsid w:val="00A625C5"/>
    <w:rsid w:val="00A63AF3"/>
    <w:rsid w:val="00A63DC4"/>
    <w:rsid w:val="00A63F87"/>
    <w:rsid w:val="00A64348"/>
    <w:rsid w:val="00A64650"/>
    <w:rsid w:val="00A649B2"/>
    <w:rsid w:val="00A64D36"/>
    <w:rsid w:val="00A66D63"/>
    <w:rsid w:val="00A70799"/>
    <w:rsid w:val="00A70A7F"/>
    <w:rsid w:val="00A71257"/>
    <w:rsid w:val="00A73BC1"/>
    <w:rsid w:val="00A73FFE"/>
    <w:rsid w:val="00A747B6"/>
    <w:rsid w:val="00A74E18"/>
    <w:rsid w:val="00A763D6"/>
    <w:rsid w:val="00A766F8"/>
    <w:rsid w:val="00A76B7F"/>
    <w:rsid w:val="00A80050"/>
    <w:rsid w:val="00A80CFC"/>
    <w:rsid w:val="00A81131"/>
    <w:rsid w:val="00A82764"/>
    <w:rsid w:val="00A830A8"/>
    <w:rsid w:val="00A8459A"/>
    <w:rsid w:val="00A8469F"/>
    <w:rsid w:val="00A84ED6"/>
    <w:rsid w:val="00A855A9"/>
    <w:rsid w:val="00A85CC9"/>
    <w:rsid w:val="00A86450"/>
    <w:rsid w:val="00A867CB"/>
    <w:rsid w:val="00A879DE"/>
    <w:rsid w:val="00A87B51"/>
    <w:rsid w:val="00A87CE6"/>
    <w:rsid w:val="00A90A3B"/>
    <w:rsid w:val="00A94A15"/>
    <w:rsid w:val="00A95811"/>
    <w:rsid w:val="00A97D20"/>
    <w:rsid w:val="00A97D58"/>
    <w:rsid w:val="00A97D89"/>
    <w:rsid w:val="00AA16BC"/>
    <w:rsid w:val="00AA19C4"/>
    <w:rsid w:val="00AA27DC"/>
    <w:rsid w:val="00AA3E63"/>
    <w:rsid w:val="00AA5586"/>
    <w:rsid w:val="00AA6DB9"/>
    <w:rsid w:val="00AA6E9F"/>
    <w:rsid w:val="00AA75A7"/>
    <w:rsid w:val="00AB0F51"/>
    <w:rsid w:val="00AB14ED"/>
    <w:rsid w:val="00AB36FE"/>
    <w:rsid w:val="00AB433E"/>
    <w:rsid w:val="00AB4804"/>
    <w:rsid w:val="00AB4963"/>
    <w:rsid w:val="00AB603B"/>
    <w:rsid w:val="00AB75DE"/>
    <w:rsid w:val="00AC008A"/>
    <w:rsid w:val="00AC3504"/>
    <w:rsid w:val="00AC377B"/>
    <w:rsid w:val="00AC47DD"/>
    <w:rsid w:val="00AC65F1"/>
    <w:rsid w:val="00AC75F5"/>
    <w:rsid w:val="00AC7988"/>
    <w:rsid w:val="00AD1654"/>
    <w:rsid w:val="00AD1ECA"/>
    <w:rsid w:val="00AD253C"/>
    <w:rsid w:val="00AD5FB8"/>
    <w:rsid w:val="00AD69B5"/>
    <w:rsid w:val="00AD7587"/>
    <w:rsid w:val="00AE0127"/>
    <w:rsid w:val="00AE0C58"/>
    <w:rsid w:val="00AE3C7E"/>
    <w:rsid w:val="00AE572C"/>
    <w:rsid w:val="00AE5CF7"/>
    <w:rsid w:val="00AE7997"/>
    <w:rsid w:val="00AF092F"/>
    <w:rsid w:val="00AF246E"/>
    <w:rsid w:val="00AF3556"/>
    <w:rsid w:val="00AF4F1D"/>
    <w:rsid w:val="00B0183D"/>
    <w:rsid w:val="00B02B4F"/>
    <w:rsid w:val="00B066E6"/>
    <w:rsid w:val="00B07B76"/>
    <w:rsid w:val="00B15181"/>
    <w:rsid w:val="00B162E6"/>
    <w:rsid w:val="00B16F90"/>
    <w:rsid w:val="00B17A03"/>
    <w:rsid w:val="00B17EFF"/>
    <w:rsid w:val="00B21CB4"/>
    <w:rsid w:val="00B22FCF"/>
    <w:rsid w:val="00B2526A"/>
    <w:rsid w:val="00B2543F"/>
    <w:rsid w:val="00B25EE6"/>
    <w:rsid w:val="00B26F79"/>
    <w:rsid w:val="00B31271"/>
    <w:rsid w:val="00B31D0D"/>
    <w:rsid w:val="00B31F3A"/>
    <w:rsid w:val="00B3239D"/>
    <w:rsid w:val="00B339F2"/>
    <w:rsid w:val="00B34F7C"/>
    <w:rsid w:val="00B425D3"/>
    <w:rsid w:val="00B54CDC"/>
    <w:rsid w:val="00B571A2"/>
    <w:rsid w:val="00B60398"/>
    <w:rsid w:val="00B61B5F"/>
    <w:rsid w:val="00B62628"/>
    <w:rsid w:val="00B64B75"/>
    <w:rsid w:val="00B67566"/>
    <w:rsid w:val="00B700DF"/>
    <w:rsid w:val="00B70755"/>
    <w:rsid w:val="00B71241"/>
    <w:rsid w:val="00B726A7"/>
    <w:rsid w:val="00B7291E"/>
    <w:rsid w:val="00B7552E"/>
    <w:rsid w:val="00B75EEC"/>
    <w:rsid w:val="00B77649"/>
    <w:rsid w:val="00B8254D"/>
    <w:rsid w:val="00B82D0B"/>
    <w:rsid w:val="00B86ADB"/>
    <w:rsid w:val="00B87465"/>
    <w:rsid w:val="00B87654"/>
    <w:rsid w:val="00B901B9"/>
    <w:rsid w:val="00B93E83"/>
    <w:rsid w:val="00B944D4"/>
    <w:rsid w:val="00BA0101"/>
    <w:rsid w:val="00BA063C"/>
    <w:rsid w:val="00BA471E"/>
    <w:rsid w:val="00BA4D81"/>
    <w:rsid w:val="00BA5049"/>
    <w:rsid w:val="00BB042D"/>
    <w:rsid w:val="00BB2186"/>
    <w:rsid w:val="00BB2980"/>
    <w:rsid w:val="00BB6F7A"/>
    <w:rsid w:val="00BC0C09"/>
    <w:rsid w:val="00BC194E"/>
    <w:rsid w:val="00BC2A53"/>
    <w:rsid w:val="00BC3687"/>
    <w:rsid w:val="00BC4996"/>
    <w:rsid w:val="00BD049B"/>
    <w:rsid w:val="00BD1995"/>
    <w:rsid w:val="00BD2841"/>
    <w:rsid w:val="00BD3722"/>
    <w:rsid w:val="00BD439E"/>
    <w:rsid w:val="00BD4426"/>
    <w:rsid w:val="00BE082B"/>
    <w:rsid w:val="00BE138C"/>
    <w:rsid w:val="00BE1A04"/>
    <w:rsid w:val="00BE1EDF"/>
    <w:rsid w:val="00BE34B8"/>
    <w:rsid w:val="00BE3F45"/>
    <w:rsid w:val="00BE69A9"/>
    <w:rsid w:val="00BE739A"/>
    <w:rsid w:val="00BE7DF9"/>
    <w:rsid w:val="00BF3E29"/>
    <w:rsid w:val="00BF5B81"/>
    <w:rsid w:val="00C065F9"/>
    <w:rsid w:val="00C067F0"/>
    <w:rsid w:val="00C074F5"/>
    <w:rsid w:val="00C07663"/>
    <w:rsid w:val="00C1019B"/>
    <w:rsid w:val="00C10283"/>
    <w:rsid w:val="00C108CE"/>
    <w:rsid w:val="00C10F8C"/>
    <w:rsid w:val="00C115D4"/>
    <w:rsid w:val="00C12B91"/>
    <w:rsid w:val="00C12D28"/>
    <w:rsid w:val="00C13415"/>
    <w:rsid w:val="00C13741"/>
    <w:rsid w:val="00C13D9A"/>
    <w:rsid w:val="00C2095E"/>
    <w:rsid w:val="00C22998"/>
    <w:rsid w:val="00C2677F"/>
    <w:rsid w:val="00C26CD0"/>
    <w:rsid w:val="00C32A84"/>
    <w:rsid w:val="00C33458"/>
    <w:rsid w:val="00C3493F"/>
    <w:rsid w:val="00C34A5B"/>
    <w:rsid w:val="00C3503F"/>
    <w:rsid w:val="00C370D9"/>
    <w:rsid w:val="00C37411"/>
    <w:rsid w:val="00C42892"/>
    <w:rsid w:val="00C472AA"/>
    <w:rsid w:val="00C47FD4"/>
    <w:rsid w:val="00C5018F"/>
    <w:rsid w:val="00C51068"/>
    <w:rsid w:val="00C5219C"/>
    <w:rsid w:val="00C53B94"/>
    <w:rsid w:val="00C555A9"/>
    <w:rsid w:val="00C56D41"/>
    <w:rsid w:val="00C57421"/>
    <w:rsid w:val="00C606F7"/>
    <w:rsid w:val="00C607A9"/>
    <w:rsid w:val="00C609B6"/>
    <w:rsid w:val="00C61F26"/>
    <w:rsid w:val="00C62821"/>
    <w:rsid w:val="00C64017"/>
    <w:rsid w:val="00C64E7E"/>
    <w:rsid w:val="00C701DD"/>
    <w:rsid w:val="00C70FB5"/>
    <w:rsid w:val="00C74B65"/>
    <w:rsid w:val="00C75067"/>
    <w:rsid w:val="00C75189"/>
    <w:rsid w:val="00C761BE"/>
    <w:rsid w:val="00C7757C"/>
    <w:rsid w:val="00C77E09"/>
    <w:rsid w:val="00C80C6A"/>
    <w:rsid w:val="00C82727"/>
    <w:rsid w:val="00C82879"/>
    <w:rsid w:val="00C831AB"/>
    <w:rsid w:val="00C83BA8"/>
    <w:rsid w:val="00C84A63"/>
    <w:rsid w:val="00C904B7"/>
    <w:rsid w:val="00C92DFA"/>
    <w:rsid w:val="00C94301"/>
    <w:rsid w:val="00C962C2"/>
    <w:rsid w:val="00C97500"/>
    <w:rsid w:val="00C97900"/>
    <w:rsid w:val="00CA11BB"/>
    <w:rsid w:val="00CA5310"/>
    <w:rsid w:val="00CB07FB"/>
    <w:rsid w:val="00CB10C8"/>
    <w:rsid w:val="00CB2433"/>
    <w:rsid w:val="00CB46E1"/>
    <w:rsid w:val="00CB5273"/>
    <w:rsid w:val="00CC1F1F"/>
    <w:rsid w:val="00CC2A0E"/>
    <w:rsid w:val="00CC6DBF"/>
    <w:rsid w:val="00CC75CA"/>
    <w:rsid w:val="00CC78DF"/>
    <w:rsid w:val="00CD0DA5"/>
    <w:rsid w:val="00CD1301"/>
    <w:rsid w:val="00CD15B3"/>
    <w:rsid w:val="00CD4541"/>
    <w:rsid w:val="00CD6E1B"/>
    <w:rsid w:val="00CE23DD"/>
    <w:rsid w:val="00CE2D63"/>
    <w:rsid w:val="00CE40BB"/>
    <w:rsid w:val="00CE4362"/>
    <w:rsid w:val="00CE6D83"/>
    <w:rsid w:val="00CF08C0"/>
    <w:rsid w:val="00CF22CA"/>
    <w:rsid w:val="00CF2B15"/>
    <w:rsid w:val="00CF4D2A"/>
    <w:rsid w:val="00CF591D"/>
    <w:rsid w:val="00D009A7"/>
    <w:rsid w:val="00D00B04"/>
    <w:rsid w:val="00D01F24"/>
    <w:rsid w:val="00D042BC"/>
    <w:rsid w:val="00D04756"/>
    <w:rsid w:val="00D04DCE"/>
    <w:rsid w:val="00D05DCB"/>
    <w:rsid w:val="00D076E6"/>
    <w:rsid w:val="00D11BA2"/>
    <w:rsid w:val="00D12C23"/>
    <w:rsid w:val="00D12E6B"/>
    <w:rsid w:val="00D15051"/>
    <w:rsid w:val="00D1506E"/>
    <w:rsid w:val="00D17690"/>
    <w:rsid w:val="00D23097"/>
    <w:rsid w:val="00D2548B"/>
    <w:rsid w:val="00D329BC"/>
    <w:rsid w:val="00D32A63"/>
    <w:rsid w:val="00D35BCA"/>
    <w:rsid w:val="00D3774C"/>
    <w:rsid w:val="00D377FC"/>
    <w:rsid w:val="00D405F2"/>
    <w:rsid w:val="00D42BEB"/>
    <w:rsid w:val="00D43741"/>
    <w:rsid w:val="00D43C4B"/>
    <w:rsid w:val="00D46EB1"/>
    <w:rsid w:val="00D4747C"/>
    <w:rsid w:val="00D47689"/>
    <w:rsid w:val="00D51A44"/>
    <w:rsid w:val="00D55408"/>
    <w:rsid w:val="00D5587F"/>
    <w:rsid w:val="00D55882"/>
    <w:rsid w:val="00D56642"/>
    <w:rsid w:val="00D6286E"/>
    <w:rsid w:val="00D63C1F"/>
    <w:rsid w:val="00D731DD"/>
    <w:rsid w:val="00D752D3"/>
    <w:rsid w:val="00D75D9B"/>
    <w:rsid w:val="00D762BC"/>
    <w:rsid w:val="00D80A07"/>
    <w:rsid w:val="00D82356"/>
    <w:rsid w:val="00D8600E"/>
    <w:rsid w:val="00D86ED9"/>
    <w:rsid w:val="00D876AE"/>
    <w:rsid w:val="00D9059C"/>
    <w:rsid w:val="00D910C2"/>
    <w:rsid w:val="00D921F1"/>
    <w:rsid w:val="00D927CA"/>
    <w:rsid w:val="00D92BD5"/>
    <w:rsid w:val="00D95CA8"/>
    <w:rsid w:val="00D964B4"/>
    <w:rsid w:val="00D96A9A"/>
    <w:rsid w:val="00D9710B"/>
    <w:rsid w:val="00DA0489"/>
    <w:rsid w:val="00DA19F8"/>
    <w:rsid w:val="00DA2A81"/>
    <w:rsid w:val="00DA2F3F"/>
    <w:rsid w:val="00DA45FA"/>
    <w:rsid w:val="00DA5E12"/>
    <w:rsid w:val="00DA731B"/>
    <w:rsid w:val="00DA7498"/>
    <w:rsid w:val="00DA78BE"/>
    <w:rsid w:val="00DB0149"/>
    <w:rsid w:val="00DB1314"/>
    <w:rsid w:val="00DB45B3"/>
    <w:rsid w:val="00DB4753"/>
    <w:rsid w:val="00DB4E11"/>
    <w:rsid w:val="00DB57F9"/>
    <w:rsid w:val="00DB5887"/>
    <w:rsid w:val="00DB6983"/>
    <w:rsid w:val="00DB7FB2"/>
    <w:rsid w:val="00DC0856"/>
    <w:rsid w:val="00DC0CC5"/>
    <w:rsid w:val="00DC27C0"/>
    <w:rsid w:val="00DC3E24"/>
    <w:rsid w:val="00DC4BBC"/>
    <w:rsid w:val="00DC4D90"/>
    <w:rsid w:val="00DC5C55"/>
    <w:rsid w:val="00DC64D7"/>
    <w:rsid w:val="00DC6BB3"/>
    <w:rsid w:val="00DC701B"/>
    <w:rsid w:val="00DC74FF"/>
    <w:rsid w:val="00DC7CC3"/>
    <w:rsid w:val="00DC7D73"/>
    <w:rsid w:val="00DD0932"/>
    <w:rsid w:val="00DD1917"/>
    <w:rsid w:val="00DD30DA"/>
    <w:rsid w:val="00DD52DD"/>
    <w:rsid w:val="00DD7397"/>
    <w:rsid w:val="00DE0659"/>
    <w:rsid w:val="00DE33CA"/>
    <w:rsid w:val="00DE3D07"/>
    <w:rsid w:val="00DE486F"/>
    <w:rsid w:val="00DE4FB3"/>
    <w:rsid w:val="00DE683E"/>
    <w:rsid w:val="00DE69FC"/>
    <w:rsid w:val="00DE6D7C"/>
    <w:rsid w:val="00DE7462"/>
    <w:rsid w:val="00DE794E"/>
    <w:rsid w:val="00DE7969"/>
    <w:rsid w:val="00DE7DE2"/>
    <w:rsid w:val="00DF03C2"/>
    <w:rsid w:val="00DF11E8"/>
    <w:rsid w:val="00DF258D"/>
    <w:rsid w:val="00DF3719"/>
    <w:rsid w:val="00DF3CBD"/>
    <w:rsid w:val="00DF416A"/>
    <w:rsid w:val="00DF494F"/>
    <w:rsid w:val="00DF5A43"/>
    <w:rsid w:val="00DF7F7A"/>
    <w:rsid w:val="00E032B9"/>
    <w:rsid w:val="00E03D0F"/>
    <w:rsid w:val="00E05EC4"/>
    <w:rsid w:val="00E10974"/>
    <w:rsid w:val="00E1189E"/>
    <w:rsid w:val="00E14078"/>
    <w:rsid w:val="00E1443F"/>
    <w:rsid w:val="00E166F4"/>
    <w:rsid w:val="00E16ED2"/>
    <w:rsid w:val="00E17199"/>
    <w:rsid w:val="00E17E52"/>
    <w:rsid w:val="00E20939"/>
    <w:rsid w:val="00E20F9D"/>
    <w:rsid w:val="00E20FF8"/>
    <w:rsid w:val="00E21427"/>
    <w:rsid w:val="00E22B78"/>
    <w:rsid w:val="00E251C1"/>
    <w:rsid w:val="00E26EDE"/>
    <w:rsid w:val="00E270A2"/>
    <w:rsid w:val="00E273FC"/>
    <w:rsid w:val="00E2799D"/>
    <w:rsid w:val="00E30A83"/>
    <w:rsid w:val="00E3106B"/>
    <w:rsid w:val="00E33273"/>
    <w:rsid w:val="00E338DC"/>
    <w:rsid w:val="00E40C19"/>
    <w:rsid w:val="00E41A8C"/>
    <w:rsid w:val="00E471E5"/>
    <w:rsid w:val="00E475CB"/>
    <w:rsid w:val="00E50C59"/>
    <w:rsid w:val="00E50CDD"/>
    <w:rsid w:val="00E50E09"/>
    <w:rsid w:val="00E52549"/>
    <w:rsid w:val="00E532BE"/>
    <w:rsid w:val="00E549EB"/>
    <w:rsid w:val="00E54DCA"/>
    <w:rsid w:val="00E554AF"/>
    <w:rsid w:val="00E55E48"/>
    <w:rsid w:val="00E57D58"/>
    <w:rsid w:val="00E607EE"/>
    <w:rsid w:val="00E613A8"/>
    <w:rsid w:val="00E62DD5"/>
    <w:rsid w:val="00E64BB5"/>
    <w:rsid w:val="00E663CE"/>
    <w:rsid w:val="00E700E1"/>
    <w:rsid w:val="00E70BB9"/>
    <w:rsid w:val="00E70C49"/>
    <w:rsid w:val="00E71632"/>
    <w:rsid w:val="00E71886"/>
    <w:rsid w:val="00E720D8"/>
    <w:rsid w:val="00E761EE"/>
    <w:rsid w:val="00E77FE5"/>
    <w:rsid w:val="00E85780"/>
    <w:rsid w:val="00E85D44"/>
    <w:rsid w:val="00E86536"/>
    <w:rsid w:val="00E86E4C"/>
    <w:rsid w:val="00E906F1"/>
    <w:rsid w:val="00E90AE3"/>
    <w:rsid w:val="00E91C30"/>
    <w:rsid w:val="00E94E48"/>
    <w:rsid w:val="00EA3B1A"/>
    <w:rsid w:val="00EA424F"/>
    <w:rsid w:val="00EA4C0E"/>
    <w:rsid w:val="00EA687E"/>
    <w:rsid w:val="00EA6BD0"/>
    <w:rsid w:val="00EB21DE"/>
    <w:rsid w:val="00EB2698"/>
    <w:rsid w:val="00EB362E"/>
    <w:rsid w:val="00EC0A13"/>
    <w:rsid w:val="00EC112B"/>
    <w:rsid w:val="00EC2D04"/>
    <w:rsid w:val="00EC4F68"/>
    <w:rsid w:val="00ED046B"/>
    <w:rsid w:val="00ED210D"/>
    <w:rsid w:val="00ED3562"/>
    <w:rsid w:val="00ED40F0"/>
    <w:rsid w:val="00EE1469"/>
    <w:rsid w:val="00EE1EA9"/>
    <w:rsid w:val="00EE5552"/>
    <w:rsid w:val="00EE5769"/>
    <w:rsid w:val="00EE61C2"/>
    <w:rsid w:val="00EF05A3"/>
    <w:rsid w:val="00EF0DEA"/>
    <w:rsid w:val="00EF55C5"/>
    <w:rsid w:val="00EF5851"/>
    <w:rsid w:val="00EF654E"/>
    <w:rsid w:val="00EF6B10"/>
    <w:rsid w:val="00F049D1"/>
    <w:rsid w:val="00F114AB"/>
    <w:rsid w:val="00F1529E"/>
    <w:rsid w:val="00F15E60"/>
    <w:rsid w:val="00F1662F"/>
    <w:rsid w:val="00F21968"/>
    <w:rsid w:val="00F24666"/>
    <w:rsid w:val="00F24A95"/>
    <w:rsid w:val="00F259B8"/>
    <w:rsid w:val="00F262F1"/>
    <w:rsid w:val="00F2663A"/>
    <w:rsid w:val="00F3149E"/>
    <w:rsid w:val="00F33E40"/>
    <w:rsid w:val="00F34F99"/>
    <w:rsid w:val="00F353E4"/>
    <w:rsid w:val="00F4261D"/>
    <w:rsid w:val="00F42D3B"/>
    <w:rsid w:val="00F459F2"/>
    <w:rsid w:val="00F46717"/>
    <w:rsid w:val="00F4735B"/>
    <w:rsid w:val="00F516A8"/>
    <w:rsid w:val="00F540FB"/>
    <w:rsid w:val="00F54129"/>
    <w:rsid w:val="00F54481"/>
    <w:rsid w:val="00F56BB0"/>
    <w:rsid w:val="00F575DA"/>
    <w:rsid w:val="00F62677"/>
    <w:rsid w:val="00F6370B"/>
    <w:rsid w:val="00F63FC7"/>
    <w:rsid w:val="00F6414D"/>
    <w:rsid w:val="00F645EF"/>
    <w:rsid w:val="00F6494D"/>
    <w:rsid w:val="00F64F92"/>
    <w:rsid w:val="00F653C1"/>
    <w:rsid w:val="00F6541C"/>
    <w:rsid w:val="00F70C0D"/>
    <w:rsid w:val="00F70FF5"/>
    <w:rsid w:val="00F710AD"/>
    <w:rsid w:val="00F72278"/>
    <w:rsid w:val="00F746B9"/>
    <w:rsid w:val="00F75737"/>
    <w:rsid w:val="00F767B5"/>
    <w:rsid w:val="00F807D1"/>
    <w:rsid w:val="00F809D3"/>
    <w:rsid w:val="00F8386E"/>
    <w:rsid w:val="00F8523C"/>
    <w:rsid w:val="00F90846"/>
    <w:rsid w:val="00F914D3"/>
    <w:rsid w:val="00F91C68"/>
    <w:rsid w:val="00F928D3"/>
    <w:rsid w:val="00F92D1F"/>
    <w:rsid w:val="00F93834"/>
    <w:rsid w:val="00F93F77"/>
    <w:rsid w:val="00F972B8"/>
    <w:rsid w:val="00FA1734"/>
    <w:rsid w:val="00FA3486"/>
    <w:rsid w:val="00FA36B6"/>
    <w:rsid w:val="00FA48A4"/>
    <w:rsid w:val="00FA53E0"/>
    <w:rsid w:val="00FA598F"/>
    <w:rsid w:val="00FA6353"/>
    <w:rsid w:val="00FA670A"/>
    <w:rsid w:val="00FB0767"/>
    <w:rsid w:val="00FB12DF"/>
    <w:rsid w:val="00FB3B44"/>
    <w:rsid w:val="00FB409F"/>
    <w:rsid w:val="00FB5A93"/>
    <w:rsid w:val="00FB700A"/>
    <w:rsid w:val="00FC0429"/>
    <w:rsid w:val="00FC165C"/>
    <w:rsid w:val="00FC1C51"/>
    <w:rsid w:val="00FC3448"/>
    <w:rsid w:val="00FC43F9"/>
    <w:rsid w:val="00FC47FC"/>
    <w:rsid w:val="00FC52F7"/>
    <w:rsid w:val="00FC5B7A"/>
    <w:rsid w:val="00FD0E4F"/>
    <w:rsid w:val="00FD13F6"/>
    <w:rsid w:val="00FD2523"/>
    <w:rsid w:val="00FD3EBC"/>
    <w:rsid w:val="00FD5230"/>
    <w:rsid w:val="00FD63F2"/>
    <w:rsid w:val="00FD6B85"/>
    <w:rsid w:val="00FE0CF4"/>
    <w:rsid w:val="00FE31E7"/>
    <w:rsid w:val="00FE324F"/>
    <w:rsid w:val="00FE66A5"/>
    <w:rsid w:val="00FF76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ostalCode"/>
  <w:smartTagType w:namespaceuri="urn:schemas-microsoft-com:office:smarttags" w:name="City"/>
  <w:smartTagType w:namespaceuri="urn:schemas-microsoft-com:office:smarttags" w:name="place"/>
  <w:shapeDefaults>
    <o:shapedefaults v:ext="edit" spidmax="95233"/>
    <o:shapelayout v:ext="edit">
      <o:idmap v:ext="edit" data="1"/>
    </o:shapelayout>
  </w:shapeDefaults>
  <w:decimalSymbol w:val="."/>
  <w:listSeparator w:val=","/>
  <w14:docId w14:val="237A047C"/>
  <w15:docId w15:val="{08CD7F81-CC75-4E24-9AFC-52675B50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937DA"/>
  </w:style>
  <w:style w:type="paragraph" w:styleId="Heading1">
    <w:name w:val="heading 1"/>
    <w:basedOn w:val="Normal"/>
    <w:next w:val="Normal"/>
    <w:link w:val="Heading1Char"/>
    <w:qFormat/>
    <w:pPr>
      <w:keepNext/>
      <w:spacing w:after="120"/>
      <w:ind w:left="634"/>
      <w:outlineLvl w:val="0"/>
    </w:pPr>
    <w:rPr>
      <w:sz w:val="28"/>
    </w:rPr>
  </w:style>
  <w:style w:type="paragraph" w:styleId="Heading2">
    <w:name w:val="heading 2"/>
    <w:basedOn w:val="Normal"/>
    <w:next w:val="Normal"/>
    <w:link w:val="Heading2Char"/>
    <w:qFormat/>
    <w:pPr>
      <w:keepNext/>
      <w:ind w:left="630"/>
      <w:outlineLvl w:val="1"/>
    </w:pPr>
    <w:rPr>
      <w:i/>
      <w:sz w:val="23"/>
    </w:rPr>
  </w:style>
  <w:style w:type="paragraph" w:styleId="Heading3">
    <w:name w:val="heading 3"/>
    <w:basedOn w:val="Normal"/>
    <w:next w:val="Normal"/>
    <w:link w:val="Heading3Char"/>
    <w:qFormat/>
    <w:pPr>
      <w:keepNext/>
      <w:jc w:val="center"/>
      <w:outlineLvl w:val="2"/>
    </w:pPr>
    <w:rPr>
      <w:sz w:val="28"/>
    </w:rPr>
  </w:style>
  <w:style w:type="paragraph" w:styleId="Heading4">
    <w:name w:val="heading 4"/>
    <w:basedOn w:val="Normal"/>
    <w:next w:val="Normal"/>
    <w:link w:val="Heading4Char"/>
    <w:qFormat/>
    <w:pPr>
      <w:keepNext/>
      <w:jc w:val="center"/>
      <w:outlineLvl w:val="3"/>
    </w:pPr>
    <w:rPr>
      <w:b/>
      <w:sz w:val="22"/>
    </w:rPr>
  </w:style>
  <w:style w:type="paragraph" w:styleId="Heading5">
    <w:name w:val="heading 5"/>
    <w:basedOn w:val="Normal"/>
    <w:next w:val="Normal"/>
    <w:link w:val="Heading5Char"/>
    <w:qFormat/>
    <w:pPr>
      <w:keepNext/>
      <w:spacing w:after="120"/>
      <w:ind w:left="720"/>
      <w:outlineLvl w:val="4"/>
    </w:pPr>
    <w:rPr>
      <w:b/>
      <w:sz w:val="22"/>
    </w:rPr>
  </w:style>
  <w:style w:type="paragraph" w:styleId="Heading6">
    <w:name w:val="heading 6"/>
    <w:basedOn w:val="Normal"/>
    <w:next w:val="Normal"/>
    <w:link w:val="Heading6Char"/>
    <w:qFormat/>
    <w:pPr>
      <w:keepNext/>
      <w:jc w:val="center"/>
      <w:outlineLvl w:val="5"/>
    </w:pPr>
    <w:rPr>
      <w:b/>
      <w:sz w:val="24"/>
    </w:rPr>
  </w:style>
  <w:style w:type="paragraph" w:styleId="Heading7">
    <w:name w:val="heading 7"/>
    <w:basedOn w:val="Normal"/>
    <w:next w:val="Normal"/>
    <w:link w:val="Heading7Char"/>
    <w:qFormat/>
    <w:pPr>
      <w:keepNext/>
      <w:tabs>
        <w:tab w:val="right" w:pos="9648"/>
      </w:tabs>
      <w:spacing w:after="120" w:line="240" w:lineRule="exact"/>
      <w:ind w:left="630"/>
      <w:outlineLvl w:val="6"/>
    </w:pPr>
    <w:rPr>
      <w:b/>
      <w:sz w:val="22"/>
    </w:rPr>
  </w:style>
  <w:style w:type="paragraph" w:styleId="Heading8">
    <w:name w:val="heading 8"/>
    <w:basedOn w:val="Normal"/>
    <w:next w:val="Normal"/>
    <w:link w:val="Heading8Char"/>
    <w:qFormat/>
    <w:pPr>
      <w:keepNext/>
      <w:spacing w:after="120"/>
      <w:outlineLvl w:val="7"/>
    </w:pPr>
    <w:rPr>
      <w:b/>
      <w:caps/>
      <w:sz w:val="22"/>
    </w:rPr>
  </w:style>
  <w:style w:type="paragraph" w:styleId="Heading9">
    <w:name w:val="heading 9"/>
    <w:basedOn w:val="Normal"/>
    <w:next w:val="Normal"/>
    <w:link w:val="Heading9Char"/>
    <w:qFormat/>
    <w:pPr>
      <w:keepNext/>
      <w:spacing w:after="120"/>
      <w:ind w:left="360"/>
      <w:outlineLvl w:val="8"/>
    </w:pPr>
    <w:rPr>
      <w:sz w:val="22"/>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F6B10"/>
    <w:rPr>
      <w:sz w:val="28"/>
    </w:rPr>
  </w:style>
  <w:style w:type="character" w:customStyle="1" w:styleId="Heading2Char">
    <w:name w:val="Heading 2 Char"/>
    <w:basedOn w:val="DefaultParagraphFont"/>
    <w:link w:val="Heading2"/>
    <w:rsid w:val="00EF6B10"/>
    <w:rPr>
      <w:i/>
      <w:sz w:val="23"/>
    </w:rPr>
  </w:style>
  <w:style w:type="character" w:customStyle="1" w:styleId="Heading3Char">
    <w:name w:val="Heading 3 Char"/>
    <w:basedOn w:val="DefaultParagraphFont"/>
    <w:link w:val="Heading3"/>
    <w:rsid w:val="00EF6B10"/>
    <w:rPr>
      <w:sz w:val="28"/>
    </w:rPr>
  </w:style>
  <w:style w:type="character" w:customStyle="1" w:styleId="Heading4Char">
    <w:name w:val="Heading 4 Char"/>
    <w:basedOn w:val="DefaultParagraphFont"/>
    <w:link w:val="Heading4"/>
    <w:rsid w:val="00EF6B10"/>
    <w:rPr>
      <w:b/>
      <w:sz w:val="22"/>
    </w:rPr>
  </w:style>
  <w:style w:type="character" w:customStyle="1" w:styleId="Heading5Char">
    <w:name w:val="Heading 5 Char"/>
    <w:basedOn w:val="DefaultParagraphFont"/>
    <w:link w:val="Heading5"/>
    <w:rsid w:val="00EF6B10"/>
    <w:rPr>
      <w:b/>
      <w:sz w:val="22"/>
    </w:rPr>
  </w:style>
  <w:style w:type="character" w:customStyle="1" w:styleId="Heading6Char">
    <w:name w:val="Heading 6 Char"/>
    <w:basedOn w:val="DefaultParagraphFont"/>
    <w:link w:val="Heading6"/>
    <w:rsid w:val="00EF6B10"/>
    <w:rPr>
      <w:b/>
      <w:sz w:val="24"/>
    </w:rPr>
  </w:style>
  <w:style w:type="character" w:customStyle="1" w:styleId="Heading7Char">
    <w:name w:val="Heading 7 Char"/>
    <w:basedOn w:val="DefaultParagraphFont"/>
    <w:link w:val="Heading7"/>
    <w:rsid w:val="00EF6B10"/>
    <w:rPr>
      <w:b/>
      <w:sz w:val="22"/>
    </w:rPr>
  </w:style>
  <w:style w:type="character" w:customStyle="1" w:styleId="Heading8Char">
    <w:name w:val="Heading 8 Char"/>
    <w:basedOn w:val="DefaultParagraphFont"/>
    <w:link w:val="Heading8"/>
    <w:rsid w:val="005960E7"/>
    <w:rPr>
      <w:b/>
      <w:caps/>
      <w:sz w:val="22"/>
    </w:rPr>
  </w:style>
  <w:style w:type="character" w:customStyle="1" w:styleId="Heading9Char">
    <w:name w:val="Heading 9 Char"/>
    <w:basedOn w:val="DefaultParagraphFont"/>
    <w:link w:val="Heading9"/>
    <w:rsid w:val="00EF6B10"/>
    <w:rPr>
      <w:sz w:val="22"/>
      <w:u w:val="single"/>
    </w:rPr>
  </w:style>
  <w:style w:type="character" w:styleId="EndnoteReference">
    <w:name w:val="endnote reference"/>
    <w:basedOn w:val="DefaultParagraphFont"/>
    <w:semiHidden/>
    <w:rPr>
      <w:vertAlign w:val="superscript"/>
    </w:rPr>
  </w:style>
  <w:style w:type="paragraph" w:styleId="Header">
    <w:name w:val="header"/>
    <w:basedOn w:val="Normal"/>
    <w:link w:val="HeaderChar"/>
    <w:pPr>
      <w:tabs>
        <w:tab w:val="center" w:pos="4320"/>
        <w:tab w:val="right" w:pos="8640"/>
      </w:tabs>
    </w:pPr>
  </w:style>
  <w:style w:type="character" w:customStyle="1" w:styleId="HeaderChar">
    <w:name w:val="Header Char"/>
    <w:basedOn w:val="DefaultParagraphFont"/>
    <w:link w:val="Header"/>
    <w:rsid w:val="00EF6B10"/>
  </w:style>
  <w:style w:type="character" w:styleId="PageNumber">
    <w:name w:val="page number"/>
    <w:basedOn w:val="DefaultParagraphFont"/>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rsid w:val="00EF6B10"/>
  </w:style>
  <w:style w:type="paragraph" w:styleId="BodyTextIndent">
    <w:name w:val="Body Text Indent"/>
    <w:basedOn w:val="Normal"/>
    <w:link w:val="BodyTextIndentChar"/>
    <w:pPr>
      <w:spacing w:after="120"/>
      <w:ind w:left="634"/>
    </w:pPr>
    <w:rPr>
      <w:sz w:val="24"/>
    </w:rPr>
  </w:style>
  <w:style w:type="character" w:customStyle="1" w:styleId="BodyTextIndentChar">
    <w:name w:val="Body Text Indent Char"/>
    <w:basedOn w:val="DefaultParagraphFont"/>
    <w:link w:val="BodyTextIndent"/>
    <w:rsid w:val="002E7375"/>
    <w:rPr>
      <w:sz w:val="24"/>
    </w:rPr>
  </w:style>
  <w:style w:type="paragraph" w:styleId="BodyTextIndent2">
    <w:name w:val="Body Text Indent 2"/>
    <w:basedOn w:val="Normal"/>
    <w:link w:val="BodyTextIndent2Char"/>
    <w:pPr>
      <w:tabs>
        <w:tab w:val="left" w:pos="630"/>
      </w:tabs>
      <w:spacing w:after="120"/>
      <w:ind w:left="630"/>
    </w:pPr>
    <w:rPr>
      <w:sz w:val="24"/>
    </w:rPr>
  </w:style>
  <w:style w:type="character" w:customStyle="1" w:styleId="BodyTextIndent2Char">
    <w:name w:val="Body Text Indent 2 Char"/>
    <w:basedOn w:val="DefaultParagraphFont"/>
    <w:link w:val="BodyTextIndent2"/>
    <w:rsid w:val="00EF6B10"/>
    <w:rPr>
      <w:sz w:val="24"/>
    </w:rPr>
  </w:style>
  <w:style w:type="paragraph" w:styleId="BodyTextIndent3">
    <w:name w:val="Body Text Indent 3"/>
    <w:basedOn w:val="Normal"/>
    <w:link w:val="BodyTextIndent3Char"/>
    <w:pPr>
      <w:spacing w:before="240" w:after="120"/>
      <w:ind w:left="634"/>
      <w:jc w:val="center"/>
    </w:pPr>
    <w:rPr>
      <w:caps/>
      <w:sz w:val="24"/>
    </w:rPr>
  </w:style>
  <w:style w:type="character" w:customStyle="1" w:styleId="BodyTextIndent3Char">
    <w:name w:val="Body Text Indent 3 Char"/>
    <w:basedOn w:val="DefaultParagraphFont"/>
    <w:link w:val="BodyTextIndent3"/>
    <w:rsid w:val="00EF6B10"/>
    <w:rPr>
      <w:caps/>
      <w:sz w:val="24"/>
    </w:rPr>
  </w:style>
  <w:style w:type="paragraph" w:styleId="BodyText2">
    <w:name w:val="Body Text 2"/>
    <w:basedOn w:val="Normal"/>
    <w:link w:val="BodyText2Char"/>
    <w:pPr>
      <w:numPr>
        <w:ilvl w:val="12"/>
      </w:numPr>
      <w:spacing w:after="120"/>
      <w:jc w:val="both"/>
    </w:pPr>
    <w:rPr>
      <w:sz w:val="22"/>
    </w:rPr>
  </w:style>
  <w:style w:type="character" w:customStyle="1" w:styleId="BodyText2Char">
    <w:name w:val="Body Text 2 Char"/>
    <w:basedOn w:val="DefaultParagraphFont"/>
    <w:link w:val="BodyText2"/>
    <w:uiPriority w:val="99"/>
    <w:rsid w:val="00514F0E"/>
    <w:rPr>
      <w:sz w:val="22"/>
    </w:rPr>
  </w:style>
  <w:style w:type="paragraph" w:styleId="Title">
    <w:name w:val="Title"/>
    <w:basedOn w:val="Normal"/>
    <w:link w:val="TitleChar"/>
    <w:qFormat/>
    <w:pPr>
      <w:jc w:val="center"/>
    </w:pPr>
    <w:rPr>
      <w:b/>
      <w:sz w:val="24"/>
    </w:rPr>
  </w:style>
  <w:style w:type="character" w:customStyle="1" w:styleId="TitleChar">
    <w:name w:val="Title Char"/>
    <w:basedOn w:val="DefaultParagraphFont"/>
    <w:link w:val="Title"/>
    <w:rsid w:val="00EF6B10"/>
    <w:rPr>
      <w:b/>
      <w:sz w:val="24"/>
    </w:rPr>
  </w:style>
  <w:style w:type="paragraph" w:styleId="BodyText">
    <w:name w:val="Body Text"/>
    <w:aliases w:val="SCA Body Text,SCA Body Text1,SCA Body Text2,SCA Body Text11,BodyText-JEA,BT-JEA"/>
    <w:basedOn w:val="Normal"/>
    <w:link w:val="BodyTextChar"/>
    <w:pPr>
      <w:spacing w:after="120"/>
    </w:pPr>
    <w:rPr>
      <w:sz w:val="24"/>
    </w:rPr>
  </w:style>
  <w:style w:type="character" w:customStyle="1" w:styleId="BodyTextChar">
    <w:name w:val="Body Text Char"/>
    <w:aliases w:val="SCA Body Text Char,SCA Body Text1 Char,SCA Body Text2 Char,SCA Body Text11 Char,BodyText-JEA Char,BT-JEA Char"/>
    <w:basedOn w:val="DefaultParagraphFont"/>
    <w:link w:val="BodyText"/>
    <w:rsid w:val="00EF6B10"/>
    <w:rPr>
      <w:sz w:val="24"/>
    </w:rPr>
  </w:style>
  <w:style w:type="paragraph" w:styleId="BodyText3">
    <w:name w:val="Body Text 3"/>
    <w:basedOn w:val="Normal"/>
    <w:link w:val="BodyText3Char"/>
    <w:uiPriority w:val="99"/>
    <w:pPr>
      <w:spacing w:before="120" w:after="120"/>
    </w:pPr>
    <w:rPr>
      <w:sz w:val="22"/>
    </w:rPr>
  </w:style>
  <w:style w:type="character" w:customStyle="1" w:styleId="BodyText3Char">
    <w:name w:val="Body Text 3 Char"/>
    <w:basedOn w:val="DefaultParagraphFont"/>
    <w:link w:val="BodyText3"/>
    <w:uiPriority w:val="99"/>
    <w:rsid w:val="00EF6B10"/>
    <w:rPr>
      <w:sz w:val="22"/>
    </w:rPr>
  </w:style>
  <w:style w:type="paragraph" w:customStyle="1" w:styleId="Style4">
    <w:name w:val="Style4"/>
    <w:next w:val="Normal"/>
    <w:rPr>
      <w:noProof/>
      <w:sz w:val="24"/>
    </w:rPr>
  </w:style>
  <w:style w:type="paragraph" w:styleId="BlockText">
    <w:name w:val="Block Text"/>
    <w:basedOn w:val="Normal"/>
    <w:pPr>
      <w:spacing w:after="120"/>
      <w:ind w:left="720" w:right="43"/>
      <w:jc w:val="both"/>
    </w:pPr>
    <w:rPr>
      <w:sz w:val="22"/>
    </w:rPr>
  </w:style>
  <w:style w:type="character" w:styleId="Hyperlink">
    <w:name w:val="Hyperlink"/>
    <w:basedOn w:val="DefaultParagraphFont"/>
    <w:uiPriority w:val="99"/>
    <w:rPr>
      <w:color w:val="0000FF"/>
      <w:u w:val="single"/>
    </w:rPr>
  </w:style>
  <w:style w:type="paragraph" w:customStyle="1" w:styleId="SCATableHeading">
    <w:name w:val="SCA Table Heading"/>
    <w:basedOn w:val="Normal"/>
    <w:pPr>
      <w:jc w:val="center"/>
    </w:pPr>
    <w:rPr>
      <w:b/>
      <w:caps/>
    </w:rPr>
  </w:style>
  <w:style w:type="paragraph" w:styleId="Caption">
    <w:name w:val="caption"/>
    <w:basedOn w:val="Normal"/>
    <w:next w:val="Normal"/>
    <w:uiPriority w:val="99"/>
    <w:qFormat/>
    <w:rsid w:val="00746205"/>
    <w:pPr>
      <w:spacing w:before="360" w:after="120"/>
    </w:pPr>
    <w:rPr>
      <w:b/>
      <w:caps/>
      <w:sz w:val="22"/>
    </w:rPr>
  </w:style>
  <w:style w:type="paragraph" w:styleId="BalloonText">
    <w:name w:val="Balloon Text"/>
    <w:basedOn w:val="Normal"/>
    <w:link w:val="BalloonTextChar"/>
    <w:semiHidden/>
    <w:rsid w:val="00746205"/>
    <w:rPr>
      <w:rFonts w:ascii="Tahoma" w:hAnsi="Tahoma" w:cs="Tahoma"/>
      <w:sz w:val="16"/>
      <w:szCs w:val="16"/>
    </w:rPr>
  </w:style>
  <w:style w:type="character" w:customStyle="1" w:styleId="BalloonTextChar">
    <w:name w:val="Balloon Text Char"/>
    <w:basedOn w:val="DefaultParagraphFont"/>
    <w:link w:val="BalloonText"/>
    <w:semiHidden/>
    <w:rsid w:val="00EF6B10"/>
    <w:rPr>
      <w:rFonts w:ascii="Tahoma" w:hAnsi="Tahoma" w:cs="Tahoma"/>
      <w:sz w:val="16"/>
      <w:szCs w:val="16"/>
    </w:rPr>
  </w:style>
  <w:style w:type="table" w:styleId="TableGrid">
    <w:name w:val="Table Grid"/>
    <w:basedOn w:val="TableNormal"/>
    <w:uiPriority w:val="59"/>
    <w:rsid w:val="00DC7CC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2E3095"/>
    <w:pPr>
      <w:autoSpaceDE w:val="0"/>
      <w:autoSpaceDN w:val="0"/>
      <w:adjustRightInd w:val="0"/>
    </w:pPr>
    <w:rPr>
      <w:color w:val="000000"/>
      <w:sz w:val="24"/>
      <w:szCs w:val="24"/>
    </w:rPr>
  </w:style>
  <w:style w:type="paragraph" w:styleId="ListParagraph">
    <w:name w:val="List Paragraph"/>
    <w:basedOn w:val="Normal"/>
    <w:uiPriority w:val="34"/>
    <w:qFormat/>
    <w:rsid w:val="00E90AE3"/>
    <w:pPr>
      <w:ind w:left="720"/>
      <w:contextualSpacing/>
    </w:pPr>
  </w:style>
  <w:style w:type="character" w:styleId="UnresolvedMention">
    <w:name w:val="Unresolved Mention"/>
    <w:basedOn w:val="DefaultParagraphFont"/>
    <w:uiPriority w:val="99"/>
    <w:semiHidden/>
    <w:unhideWhenUsed/>
    <w:rsid w:val="004611A3"/>
    <w:rPr>
      <w:color w:val="808080"/>
      <w:shd w:val="clear" w:color="auto" w:fill="E6E6E6"/>
    </w:rPr>
  </w:style>
  <w:style w:type="paragraph" w:styleId="FootnoteText">
    <w:name w:val="footnote text"/>
    <w:basedOn w:val="Normal"/>
    <w:link w:val="FootnoteTextChar"/>
    <w:unhideWhenUsed/>
    <w:rsid w:val="00115A27"/>
  </w:style>
  <w:style w:type="character" w:customStyle="1" w:styleId="FootnoteTextChar">
    <w:name w:val="Footnote Text Char"/>
    <w:basedOn w:val="DefaultParagraphFont"/>
    <w:link w:val="FootnoteText"/>
    <w:rsid w:val="00115A27"/>
  </w:style>
  <w:style w:type="character" w:styleId="FootnoteReference">
    <w:name w:val="footnote reference"/>
    <w:basedOn w:val="DefaultParagraphFont"/>
    <w:unhideWhenUsed/>
    <w:rsid w:val="00115A27"/>
    <w:rPr>
      <w:vertAlign w:val="superscript"/>
    </w:rPr>
  </w:style>
  <w:style w:type="character" w:styleId="FollowedHyperlink">
    <w:name w:val="FollowedHyperlink"/>
    <w:basedOn w:val="DefaultParagraphFont"/>
    <w:semiHidden/>
    <w:unhideWhenUsed/>
    <w:rsid w:val="00CC1F1F"/>
    <w:rPr>
      <w:color w:val="800080" w:themeColor="followedHyperlink"/>
      <w:u w:val="single"/>
    </w:rPr>
  </w:style>
  <w:style w:type="character" w:customStyle="1" w:styleId="CommentTextChar">
    <w:name w:val="Comment Text Char"/>
    <w:basedOn w:val="DefaultParagraphFont"/>
    <w:link w:val="CommentText"/>
    <w:semiHidden/>
    <w:rsid w:val="00EF6B10"/>
  </w:style>
  <w:style w:type="paragraph" w:styleId="CommentText">
    <w:name w:val="annotation text"/>
    <w:basedOn w:val="Normal"/>
    <w:link w:val="CommentTextChar"/>
    <w:semiHidden/>
    <w:unhideWhenUsed/>
    <w:rsid w:val="00EF6B10"/>
  </w:style>
  <w:style w:type="character" w:customStyle="1" w:styleId="CommentSubjectChar">
    <w:name w:val="Comment Subject Char"/>
    <w:basedOn w:val="CommentTextChar"/>
    <w:link w:val="CommentSubject"/>
    <w:semiHidden/>
    <w:rsid w:val="00EF6B10"/>
    <w:rPr>
      <w:b/>
      <w:bCs/>
    </w:rPr>
  </w:style>
  <w:style w:type="paragraph" w:styleId="CommentSubject">
    <w:name w:val="annotation subject"/>
    <w:basedOn w:val="CommentText"/>
    <w:next w:val="CommentText"/>
    <w:link w:val="CommentSubjectChar"/>
    <w:semiHidden/>
    <w:unhideWhenUsed/>
    <w:rsid w:val="00EF6B10"/>
    <w:rPr>
      <w:b/>
      <w:bCs/>
    </w:rPr>
  </w:style>
  <w:style w:type="paragraph" w:styleId="EndnoteText">
    <w:name w:val="endnote text"/>
    <w:basedOn w:val="Normal"/>
    <w:link w:val="EndnoteTextChar"/>
    <w:uiPriority w:val="99"/>
    <w:semiHidden/>
    <w:unhideWhenUsed/>
    <w:rsid w:val="00DC0CC5"/>
  </w:style>
  <w:style w:type="character" w:customStyle="1" w:styleId="EndnoteTextChar">
    <w:name w:val="Endnote Text Char"/>
    <w:basedOn w:val="DefaultParagraphFont"/>
    <w:link w:val="EndnoteText"/>
    <w:uiPriority w:val="99"/>
    <w:semiHidden/>
    <w:rsid w:val="00DC0CC5"/>
  </w:style>
  <w:style w:type="character" w:styleId="PlaceholderText">
    <w:name w:val="Placeholder Text"/>
    <w:basedOn w:val="DefaultParagraphFont"/>
    <w:uiPriority w:val="99"/>
    <w:semiHidden/>
    <w:rsid w:val="00475E3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0491922">
      <w:bodyDiv w:val="1"/>
      <w:marLeft w:val="0"/>
      <w:marRight w:val="0"/>
      <w:marTop w:val="0"/>
      <w:marBottom w:val="0"/>
      <w:divBdr>
        <w:top w:val="none" w:sz="0" w:space="0" w:color="auto"/>
        <w:left w:val="none" w:sz="0" w:space="0" w:color="auto"/>
        <w:bottom w:val="none" w:sz="0" w:space="0" w:color="auto"/>
        <w:right w:val="none" w:sz="0" w:space="0" w:color="auto"/>
      </w:divBdr>
    </w:div>
    <w:div w:id="338044064">
      <w:bodyDiv w:val="1"/>
      <w:marLeft w:val="0"/>
      <w:marRight w:val="0"/>
      <w:marTop w:val="0"/>
      <w:marBottom w:val="0"/>
      <w:divBdr>
        <w:top w:val="none" w:sz="0" w:space="0" w:color="auto"/>
        <w:left w:val="none" w:sz="0" w:space="0" w:color="auto"/>
        <w:bottom w:val="none" w:sz="0" w:space="0" w:color="auto"/>
        <w:right w:val="none" w:sz="0" w:space="0" w:color="auto"/>
      </w:divBdr>
    </w:div>
    <w:div w:id="456804280">
      <w:bodyDiv w:val="1"/>
      <w:marLeft w:val="0"/>
      <w:marRight w:val="0"/>
      <w:marTop w:val="0"/>
      <w:marBottom w:val="0"/>
      <w:divBdr>
        <w:top w:val="none" w:sz="0" w:space="0" w:color="auto"/>
        <w:left w:val="none" w:sz="0" w:space="0" w:color="auto"/>
        <w:bottom w:val="none" w:sz="0" w:space="0" w:color="auto"/>
        <w:right w:val="none" w:sz="0" w:space="0" w:color="auto"/>
      </w:divBdr>
    </w:div>
    <w:div w:id="1043870523">
      <w:bodyDiv w:val="1"/>
      <w:marLeft w:val="0"/>
      <w:marRight w:val="0"/>
      <w:marTop w:val="0"/>
      <w:marBottom w:val="0"/>
      <w:divBdr>
        <w:top w:val="none" w:sz="0" w:space="0" w:color="auto"/>
        <w:left w:val="none" w:sz="0" w:space="0" w:color="auto"/>
        <w:bottom w:val="none" w:sz="0" w:space="0" w:color="auto"/>
        <w:right w:val="none" w:sz="0" w:space="0" w:color="auto"/>
      </w:divBdr>
    </w:div>
    <w:div w:id="1281228942">
      <w:bodyDiv w:val="1"/>
      <w:marLeft w:val="0"/>
      <w:marRight w:val="0"/>
      <w:marTop w:val="0"/>
      <w:marBottom w:val="0"/>
      <w:divBdr>
        <w:top w:val="none" w:sz="0" w:space="0" w:color="auto"/>
        <w:left w:val="none" w:sz="0" w:space="0" w:color="auto"/>
        <w:bottom w:val="none" w:sz="0" w:space="0" w:color="auto"/>
        <w:right w:val="none" w:sz="0" w:space="0" w:color="auto"/>
      </w:divBdr>
    </w:div>
    <w:div w:id="1775708831">
      <w:bodyDiv w:val="1"/>
      <w:marLeft w:val="0"/>
      <w:marRight w:val="0"/>
      <w:marTop w:val="0"/>
      <w:marBottom w:val="0"/>
      <w:divBdr>
        <w:top w:val="none" w:sz="0" w:space="0" w:color="auto"/>
        <w:left w:val="none" w:sz="0" w:space="0" w:color="auto"/>
        <w:bottom w:val="none" w:sz="0" w:space="0" w:color="auto"/>
        <w:right w:val="none" w:sz="0" w:space="0" w:color="auto"/>
      </w:divBdr>
    </w:div>
    <w:div w:id="1997957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dep.state.fl.us/siting/files/rules_statutes/pps_rule.pdf" TargetMode="External"/><Relationship Id="rId18" Type="http://schemas.openxmlformats.org/officeDocument/2006/relationships/hyperlink" Target="http://www.dep.state.fl.us/air/rules/fac/62-214.pdf" TargetMode="External"/><Relationship Id="rId26" Type="http://schemas.openxmlformats.org/officeDocument/2006/relationships/image" Target="media/image9.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5.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dep.state.fl.us/air/rules/fac/62-4.pdf" TargetMode="External"/><Relationship Id="rId17" Type="http://schemas.openxmlformats.org/officeDocument/2006/relationships/hyperlink" Target="http://www.dep.state.fl.us/air/rules/fac/62-213.pdf" TargetMode="External"/><Relationship Id="rId25" Type="http://schemas.openxmlformats.org/officeDocument/2006/relationships/image" Target="media/image8.jpeg"/><Relationship Id="rId33" Type="http://schemas.openxmlformats.org/officeDocument/2006/relationships/hyperlink" Target="mailto:Lara.Rabbath@dep.state.fl.us"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dep.state.fl.us/air/rules/fac/62-212.pdf" TargetMode="External"/><Relationship Id="rId20" Type="http://schemas.openxmlformats.org/officeDocument/2006/relationships/hyperlink" Target="http://www.dep.state.fl.us/air/rules/fac/62-297.pdf" TargetMode="External"/><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7.png"/><Relationship Id="rId32" Type="http://schemas.openxmlformats.org/officeDocument/2006/relationships/image" Target="media/image15.png"/><Relationship Id="rId37"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yperlink" Target="http://www.dep.state.fl.us/air/rules/fac/62-210.pdf" TargetMode="External"/><Relationship Id="rId23" Type="http://schemas.openxmlformats.org/officeDocument/2006/relationships/oleObject" Target="embeddings/Microsoft_PowerPoint_97-2003_Presentation.ppt"/><Relationship Id="rId28" Type="http://schemas.openxmlformats.org/officeDocument/2006/relationships/image" Target="media/image11.jpeg"/><Relationship Id="rId36" Type="http://schemas.openxmlformats.org/officeDocument/2006/relationships/header" Target="header2.xml"/><Relationship Id="rId10" Type="http://schemas.openxmlformats.org/officeDocument/2006/relationships/image" Target="media/image3.png"/><Relationship Id="rId19" Type="http://schemas.openxmlformats.org/officeDocument/2006/relationships/hyperlink" Target="http://www.dep.state.fl.us/air/rules/fac/62-296.pdf" TargetMode="External"/><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dep.state.fl.us/air/rules/fac/62-204.pdf" TargetMode="External"/><Relationship Id="rId22" Type="http://schemas.openxmlformats.org/officeDocument/2006/relationships/image" Target="media/image6.wmf"/><Relationship Id="rId27" Type="http://schemas.openxmlformats.org/officeDocument/2006/relationships/image" Target="media/image10.jpeg"/><Relationship Id="rId30" Type="http://schemas.openxmlformats.org/officeDocument/2006/relationships/image" Target="media/image13.jpeg"/><Relationship Id="rId35" Type="http://schemas.openxmlformats.org/officeDocument/2006/relationships/footer" Target="footer1.xml"/></Relationships>
</file>

<file path=word/_rels/footnotes.xml.rels><?xml version="1.0" encoding="UTF-8" standalone="yes"?>
<Relationships xmlns="http://schemas.openxmlformats.org/package/2006/relationships"><Relationship Id="rId8" Type="http://schemas.openxmlformats.org/officeDocument/2006/relationships/hyperlink" Target="https://www.eia.gov/electricity/annual/pdf/epa.pdf" TargetMode="External"/><Relationship Id="rId13" Type="http://schemas.openxmlformats.org/officeDocument/2006/relationships/hyperlink" Target="https://www.epa.gov/compliance/leak-detection-and-repair-best-practices-guide" TargetMode="External"/><Relationship Id="rId3" Type="http://schemas.openxmlformats.org/officeDocument/2006/relationships/hyperlink" Target="https://www.gepower.com/gas/gas-turbines/7ha" TargetMode="External"/><Relationship Id="rId7" Type="http://schemas.openxmlformats.org/officeDocument/2006/relationships/hyperlink" Target="https://www.epa.gov/sites/production/files/2015-07/documents/ghgguid.pdf" TargetMode="External"/><Relationship Id="rId12" Type="http://schemas.openxmlformats.org/officeDocument/2006/relationships/hyperlink" Target="http://pubs.acs.org/doi/abs/10.1021/acs.est.6b05531" TargetMode="External"/><Relationship Id="rId17" Type="http://schemas.openxmlformats.org/officeDocument/2006/relationships/hyperlink" Target="https://www3.epa.gov/ttn/scram/guidance/guide/MERPs_Data_Distribution_and_Errata_Memo-02232017.pdf" TargetMode="External"/><Relationship Id="rId2" Type="http://schemas.openxmlformats.org/officeDocument/2006/relationships/hyperlink" Target="http://cfpub.epa.gov/RBLC/" TargetMode="External"/><Relationship Id="rId16" Type="http://schemas.openxmlformats.org/officeDocument/2006/relationships/hyperlink" Target="https://www3.epa.gov/ttn/scram/guidance/guide/MERPs_Data_Distribution_and_Errata_Memo-02232017.pdf" TargetMode="External"/><Relationship Id="rId1" Type="http://schemas.openxmlformats.org/officeDocument/2006/relationships/hyperlink" Target="https://depedms.dep.state.fl.us:443/Oculus/servlet/shell?command=hitlist&amp;%5bfreeText=%5d&amp;%5bfolderName=%5d&amp;%5bprofile=Permitting_Authorization%5d&amp;%5bcreator=%5d&amp;%5bentityType=any%5d&amp;%5bcreatedDateTo=%5d&amp;%5bcatalog=75%5d&amp;%5bsearchBy=Profile%5d&amp;%5bsortBy=County%5d&amp;%5bcreatedDate=%5d&amp;%7bCounty=_EQ_PASCO%7d&amp;%7bDistrict=_EQ_SWD%7d&amp;%7bFacility-Site+ID=_EQ_AIR_1010524%7d&amp;%7bFacility+Type=_LK_N%2FA%7d&amp;%7bApplication+Number=_EQ_1010524001%7d" TargetMode="External"/><Relationship Id="rId6" Type="http://schemas.openxmlformats.org/officeDocument/2006/relationships/hyperlink" Target="https://yosemite.epa.gov/OA/EAB_WEB_Docket.nsf/Filings%20By%20Appeal%20Number/EFAEA05C256B637A85258021006BB762/$File/Order%20Denying%20Review%20Vol-17.pdf" TargetMode="External"/><Relationship Id="rId11" Type="http://schemas.openxmlformats.org/officeDocument/2006/relationships/hyperlink" Target="https://www.epa.gov/f-gas-partnership-programs/sf6-leak-rates-high-voltage-circuit-breakers" TargetMode="External"/><Relationship Id="rId5" Type="http://schemas.openxmlformats.org/officeDocument/2006/relationships/hyperlink" Target="http://www.eia.gov/tools/faqs/faq.cfm?id=73&amp;t=11" TargetMode="External"/><Relationship Id="rId15" Type="http://schemas.openxmlformats.org/officeDocument/2006/relationships/hyperlink" Target="https://www3.epa.gov/ttn/scram/guidance/guide/EPA454_R_16_006.pdf" TargetMode="External"/><Relationship Id="rId10" Type="http://schemas.openxmlformats.org/officeDocument/2006/relationships/hyperlink" Target="https://www3.epa.gov/ttn/chief/old/ap42/ch01/s04/final/c01s04_oct1996.pdf" TargetMode="External"/><Relationship Id="rId4" Type="http://schemas.openxmlformats.org/officeDocument/2006/relationships/hyperlink" Target="https://www.google.com/url?sa=t&amp;rct=j&amp;q=&amp;esrc=s&amp;source=web&amp;cd=1&amp;ved=0ahUKEwiYq5_7-97VAhUh5YMKHSyPAm0QFggmMAA&amp;url=https%3A%2F%2Fwww3.epa.gov%2Fttnchie1%2Fap42%2Fch03%2Ffinal%2Fc03s01.pdf&amp;usg=AFQjCNGlzCo8L2RBNXYiZyLwwyQLD9_cOA" TargetMode="External"/><Relationship Id="rId9" Type="http://schemas.openxmlformats.org/officeDocument/2006/relationships/hyperlink" Target="https://www.gepower.com/gas/gas-turbines/7ha" TargetMode="External"/><Relationship Id="rId14" Type="http://schemas.openxmlformats.org/officeDocument/2006/relationships/hyperlink" Target="https://www.epa.gov/sites/production/files/2016-08/documents/pm2_5_sils_and_ozone_draft_guidance.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0F96EA0-AF8B-43F6-A918-74FA7C6340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10</Pages>
  <Words>21255</Words>
  <Characters>121156</Characters>
  <Application>Microsoft Office Word</Application>
  <DocSecurity>0</DocSecurity>
  <Lines>1009</Lines>
  <Paragraphs>284</Paragraphs>
  <ScaleCrop>false</ScaleCrop>
  <HeadingPairs>
    <vt:vector size="2" baseType="variant">
      <vt:variant>
        <vt:lpstr>Title</vt:lpstr>
      </vt:variant>
      <vt:variant>
        <vt:i4>1</vt:i4>
      </vt:variant>
    </vt:vector>
  </HeadingPairs>
  <TitlesOfParts>
    <vt:vector size="1" baseType="lpstr">
      <vt:lpstr>Technical Evaluation &amp; Prelimnary Determination</vt:lpstr>
    </vt:vector>
  </TitlesOfParts>
  <Manager>Trina Vielhauer</Manager>
  <Company>FDEP/DARM/BAR</Company>
  <LinksUpToDate>false</LinksUpToDate>
  <CharactersWithSpaces>142127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Technical Evaluation &amp; Prelimnary Determination</dc:title>
  <dc:subject>Draft Permit</dc:subject>
  <dc:creator>Jeff Koerner</dc:creator>
  <cp:keywords/>
  <dc:description/>
  <cp:lastModifiedBy>Rabbath, Lara</cp:lastModifiedBy>
  <cp:revision>7</cp:revision>
  <cp:lastPrinted>2007-05-20T12:07:00Z</cp:lastPrinted>
  <dcterms:created xsi:type="dcterms:W3CDTF">2018-05-25T16:59:00Z</dcterms:created>
  <dcterms:modified xsi:type="dcterms:W3CDTF">2018-05-29T13:34:00Z</dcterms:modified>
</cp:coreProperties>
</file>